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6E722" w14:textId="77777777" w:rsidR="00C73DF2" w:rsidRPr="00C73DF2" w:rsidRDefault="00C73DF2" w:rsidP="00C73DF2">
      <w:pPr>
        <w:pStyle w:val="APALevel1"/>
        <w:rPr>
          <w:lang w:val="en-US"/>
        </w:rPr>
      </w:pPr>
      <w:bookmarkStart w:id="0" w:name="_GoBack"/>
      <w:bookmarkEnd w:id="0"/>
      <w:r w:rsidRPr="00C73DF2">
        <w:rPr>
          <w:lang w:val="en-US"/>
        </w:rPr>
        <w:t>Appendix A</w:t>
      </w:r>
    </w:p>
    <w:p w14:paraId="4CBE0FB1" w14:textId="77777777" w:rsidR="00C73DF2" w:rsidRPr="00C73DF2" w:rsidRDefault="00C73DF2" w:rsidP="00C73DF2">
      <w:pPr>
        <w:pStyle w:val="APALevel2"/>
        <w:rPr>
          <w:lang w:val="en-US"/>
        </w:rPr>
      </w:pPr>
      <w:r w:rsidRPr="00C73DF2">
        <w:rPr>
          <w:lang w:val="en-US"/>
        </w:rPr>
        <w:t xml:space="preserve">Case Study (Adopted from </w:t>
      </w:r>
      <w:r w:rsidRPr="00C73DF2">
        <w:rPr>
          <w:lang w:val="en-US"/>
        </w:rPr>
        <w:fldChar w:fldCharType="begin"/>
      </w:r>
      <w:r w:rsidRPr="00C73DF2">
        <w:rPr>
          <w:lang w:val="en-US"/>
        </w:rPr>
        <w:instrText xml:space="preserve"> ADDIN EN.CITE &lt;EndNote&gt;&lt;Cite AuthorYear="1"&gt;&lt;Author&gt;Brenner&lt;/Author&gt;&lt;Year&gt;2010&lt;/Year&gt;&lt;RecNum&gt;25&lt;/RecNum&gt;&lt;DisplayText&gt;Brenner and Brenner (2010)&lt;/DisplayText&gt;&lt;record&gt;&lt;rec-number&gt;25&lt;/rec-number&gt;&lt;foreign-keys&gt;&lt;key app="EN" db-id="zw2setz58szv02ear0avpzflz5dse0fv5pe0" timestamp="1465991784"&gt;25&lt;/key&gt;&lt;/foreign-keys&gt;&lt;ref-type name="Book"&gt;6&lt;/ref-type&gt;&lt;contributors&gt;&lt;authors&gt;&lt;author&gt;Brenner, Doris&lt;/author&gt;&lt;author&gt;Brenner, Frank&lt;/author&gt;&lt;/authors&gt;&lt;/contributors&gt;&lt;titles&gt;&lt;title&gt;Assessment Center&lt;/title&gt;&lt;/titles&gt;&lt;volume&gt;3&lt;/volume&gt;&lt;dates&gt;&lt;year&gt;2010&lt;/year&gt;&lt;/dates&gt;&lt;pub-location&gt;Offenbach&lt;/pub-location&gt;&lt;publisher&gt;GABAL Verlag GmbH&lt;/publisher&gt;&lt;urls&gt;&lt;/urls&gt;&lt;/record&gt;&lt;/Cite&gt;&lt;/EndNote&gt;</w:instrText>
      </w:r>
      <w:r w:rsidRPr="00C73DF2">
        <w:rPr>
          <w:lang w:val="en-US"/>
        </w:rPr>
        <w:fldChar w:fldCharType="separate"/>
      </w:r>
      <w:r w:rsidRPr="00C73DF2">
        <w:rPr>
          <w:noProof/>
          <w:lang w:val="en-US"/>
        </w:rPr>
        <w:t>Brenner and Brenner (2010)</w:t>
      </w:r>
      <w:r w:rsidRPr="00C73DF2">
        <w:rPr>
          <w:lang w:val="en-US"/>
        </w:rPr>
        <w:fldChar w:fldCharType="end"/>
      </w:r>
      <w:r w:rsidRPr="00C73DF2">
        <w:rPr>
          <w:lang w:val="en-US"/>
        </w:rPr>
        <w:t xml:space="preserve">) </w:t>
      </w:r>
    </w:p>
    <w:p w14:paraId="326CDB62" w14:textId="77777777" w:rsidR="00C73DF2" w:rsidRPr="00C73DF2" w:rsidRDefault="00C73DF2" w:rsidP="00C73DF2">
      <w:pPr>
        <w:pStyle w:val="APALevel3"/>
      </w:pPr>
      <w:r w:rsidRPr="00C73DF2">
        <w:t>Background information.</w:t>
      </w:r>
    </w:p>
    <w:p w14:paraId="15290F87" w14:textId="77777777" w:rsidR="00C73DF2" w:rsidRPr="00C73DF2" w:rsidRDefault="00C73DF2" w:rsidP="00C73DF2">
      <w:pPr>
        <w:pStyle w:val="APATextbody"/>
        <w:rPr>
          <w:lang w:val="en-US"/>
        </w:rPr>
      </w:pPr>
      <w:r w:rsidRPr="00C73DF2">
        <w:rPr>
          <w:lang w:val="en-US"/>
        </w:rPr>
        <w:t xml:space="preserve">Your team founded </w:t>
      </w:r>
      <w:proofErr w:type="spellStart"/>
      <w:r w:rsidRPr="00C73DF2">
        <w:rPr>
          <w:i/>
          <w:lang w:val="en-US"/>
        </w:rPr>
        <w:t>TripDetective</w:t>
      </w:r>
      <w:proofErr w:type="spellEnd"/>
      <w:r w:rsidRPr="00C73DF2">
        <w:rPr>
          <w:i/>
          <w:lang w:val="en-US"/>
        </w:rPr>
        <w:t xml:space="preserve"> </w:t>
      </w:r>
      <w:r w:rsidRPr="00C73DF2">
        <w:rPr>
          <w:lang w:val="en-US"/>
        </w:rPr>
        <w:t xml:space="preserve">eight years ago, which was the first price comparison engine in Germany allowing to compare hotel and flight prices and to make a reservation. </w:t>
      </w:r>
      <w:proofErr w:type="spellStart"/>
      <w:r w:rsidRPr="00C73DF2">
        <w:rPr>
          <w:i/>
          <w:lang w:val="en-US"/>
        </w:rPr>
        <w:t>TripDetective</w:t>
      </w:r>
      <w:proofErr w:type="spellEnd"/>
      <w:r w:rsidRPr="00C73DF2">
        <w:rPr>
          <w:lang w:val="en-US"/>
        </w:rPr>
        <w:t xml:space="preserve"> is more than just a search engine, it is also an online community, where diverse information about trips can be published by the enterprise as well as by its customers. The enterprise grew very fast, now it counts more than 800 employees and seven millions visitors per month and is one of the largest price comparison engines in Europe. However, in the previous months the profit was vastly reduced. As an entrepreneurial team you were asked by the investors to analyze the situation and its causes and to suggest further steps, which are supposed to improve the profitability. A written analysis is required.</w:t>
      </w:r>
    </w:p>
    <w:p w14:paraId="6345681C" w14:textId="77777777" w:rsidR="00C73DF2" w:rsidRPr="00C73DF2" w:rsidRDefault="00C73DF2" w:rsidP="00C73DF2">
      <w:pPr>
        <w:pStyle w:val="APATextbody"/>
        <w:rPr>
          <w:lang w:val="en-US"/>
        </w:rPr>
      </w:pPr>
      <w:r w:rsidRPr="00C73DF2">
        <w:rPr>
          <w:lang w:val="en-US"/>
        </w:rPr>
        <w:t xml:space="preserve">Please imagine that you are a member of the entrepreneurial team and perform this analysis. Following information is available to you: </w:t>
      </w:r>
    </w:p>
    <w:p w14:paraId="78B7F19B" w14:textId="77777777" w:rsidR="00C73DF2" w:rsidRPr="00C73DF2" w:rsidRDefault="00C73DF2" w:rsidP="00C73DF2">
      <w:pPr>
        <w:pStyle w:val="APALevel3"/>
      </w:pPr>
      <w:r w:rsidRPr="00C73DF2">
        <w:t>Information about the cooperation.</w:t>
      </w:r>
    </w:p>
    <w:p w14:paraId="43BCB5AE" w14:textId="77777777" w:rsidR="00C73DF2" w:rsidRPr="00C73DF2" w:rsidRDefault="00C73DF2" w:rsidP="00C73DF2">
      <w:pPr>
        <w:pStyle w:val="APATextbody"/>
        <w:rPr>
          <w:lang w:val="en-US"/>
        </w:rPr>
      </w:pPr>
      <w:r w:rsidRPr="00C73DF2">
        <w:rPr>
          <w:lang w:val="en-US"/>
        </w:rPr>
        <w:t xml:space="preserve">Some days ago </w:t>
      </w:r>
      <w:proofErr w:type="spellStart"/>
      <w:r w:rsidRPr="00C73DF2">
        <w:rPr>
          <w:i/>
          <w:lang w:val="en-US"/>
        </w:rPr>
        <w:t>TripDetective</w:t>
      </w:r>
      <w:proofErr w:type="spellEnd"/>
      <w:r w:rsidRPr="00C73DF2">
        <w:rPr>
          <w:lang w:val="en-US"/>
        </w:rPr>
        <w:t xml:space="preserve"> </w:t>
      </w:r>
      <w:proofErr w:type="spellStart"/>
      <w:r w:rsidRPr="00C73DF2">
        <w:rPr>
          <w:lang w:val="en-US"/>
        </w:rPr>
        <w:t>succefully</w:t>
      </w:r>
      <w:proofErr w:type="spellEnd"/>
      <w:r w:rsidRPr="00C73DF2">
        <w:rPr>
          <w:lang w:val="en-US"/>
        </w:rPr>
        <w:t xml:space="preserve"> acquired an American price comparison engine, </w:t>
      </w:r>
      <w:proofErr w:type="spellStart"/>
      <w:r w:rsidRPr="00C73DF2">
        <w:rPr>
          <w:i/>
          <w:lang w:val="en-US"/>
        </w:rPr>
        <w:t>YourHome</w:t>
      </w:r>
      <w:proofErr w:type="spellEnd"/>
      <w:r w:rsidRPr="00C73DF2">
        <w:rPr>
          <w:lang w:val="en-US"/>
        </w:rPr>
        <w:t xml:space="preserve">, counting two million of land houses in about 200 countries, as a business partner. Information about this cooperation is still not available to the online community where customers can exchange information about hotels and destinations. </w:t>
      </w:r>
    </w:p>
    <w:p w14:paraId="39929D1E" w14:textId="77777777" w:rsidR="00C73DF2" w:rsidRPr="00C73DF2" w:rsidRDefault="00C73DF2" w:rsidP="00C73DF2">
      <w:pPr>
        <w:pStyle w:val="APALevel3"/>
      </w:pPr>
      <w:r w:rsidRPr="00C73DF2">
        <w:t>Information about the quality certificate.</w:t>
      </w:r>
    </w:p>
    <w:p w14:paraId="48A2579F" w14:textId="77777777" w:rsidR="00C73DF2" w:rsidRPr="00C73DF2" w:rsidRDefault="00C73DF2" w:rsidP="00C73DF2">
      <w:pPr>
        <w:pStyle w:val="APATextbody"/>
        <w:rPr>
          <w:lang w:val="en-US"/>
        </w:rPr>
      </w:pPr>
      <w:r w:rsidRPr="00C73DF2">
        <w:rPr>
          <w:lang w:val="en-US"/>
        </w:rPr>
        <w:t>The application for the service quality certificate of a prestigious consumer organization is taking longer than it was planned. The</w:t>
      </w:r>
      <w:r w:rsidRPr="00C73DF2">
        <w:rPr>
          <w:rFonts w:asciiTheme="minorHAnsi" w:hAnsiTheme="minorHAnsi" w:cstheme="minorBidi"/>
          <w:i/>
          <w:sz w:val="22"/>
          <w:szCs w:val="22"/>
          <w:lang w:val="en-US"/>
        </w:rPr>
        <w:t xml:space="preserve"> </w:t>
      </w:r>
      <w:proofErr w:type="spellStart"/>
      <w:r w:rsidRPr="00C73DF2">
        <w:rPr>
          <w:i/>
          <w:lang w:val="en-US"/>
        </w:rPr>
        <w:t>TripDetective</w:t>
      </w:r>
      <w:proofErr w:type="spellEnd"/>
      <w:r w:rsidRPr="00C73DF2">
        <w:rPr>
          <w:lang w:val="en-US"/>
        </w:rPr>
        <w:t xml:space="preserve"> team dealing with the consumer organization informed you that the consumer organization does not always meet the deadlines. </w:t>
      </w:r>
    </w:p>
    <w:p w14:paraId="170852CB" w14:textId="77777777" w:rsidR="00C73DF2" w:rsidRPr="00C73DF2" w:rsidRDefault="00C73DF2" w:rsidP="00C73DF2">
      <w:pPr>
        <w:pStyle w:val="APALevel3"/>
      </w:pPr>
      <w:r w:rsidRPr="00C73DF2">
        <w:t>Development of employee number between 2008 and 2016.</w:t>
      </w:r>
    </w:p>
    <w:p w14:paraId="355CFC08" w14:textId="77777777" w:rsidR="00C73DF2" w:rsidRPr="00C73DF2" w:rsidRDefault="00C73DF2" w:rsidP="00C73DF2">
      <w:pPr>
        <w:pStyle w:val="APATextbody"/>
        <w:rPr>
          <w:lang w:val="en-US"/>
        </w:rPr>
      </w:pPr>
      <w:r w:rsidRPr="00C73DF2">
        <w:rPr>
          <w:noProof/>
          <w:lang w:eastAsia="de-DE"/>
        </w:rPr>
        <w:lastRenderedPageBreak/>
        <w:drawing>
          <wp:inline distT="0" distB="0" distL="0" distR="0" wp14:anchorId="6C5568E4" wp14:editId="23A5DD87">
            <wp:extent cx="3744000" cy="2185200"/>
            <wp:effectExtent l="0" t="0" r="27940" b="24765"/>
            <wp:docPr id="5" name="Diagramm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B3D80EB" w14:textId="77777777" w:rsidR="00C73DF2" w:rsidRPr="00C73DF2" w:rsidRDefault="00C73DF2" w:rsidP="00C73DF2">
      <w:pPr>
        <w:pStyle w:val="APALevel3"/>
      </w:pPr>
    </w:p>
    <w:p w14:paraId="11879230" w14:textId="77777777" w:rsidR="00C73DF2" w:rsidRPr="00C73DF2" w:rsidRDefault="00C73DF2" w:rsidP="00C73DF2">
      <w:pPr>
        <w:pStyle w:val="APALevel3"/>
      </w:pPr>
      <w:r w:rsidRPr="00C73DF2">
        <w:t xml:space="preserve">Average number of hotel and flight reservations made via </w:t>
      </w:r>
      <w:proofErr w:type="spellStart"/>
      <w:r w:rsidRPr="00C73DF2">
        <w:rPr>
          <w:i/>
        </w:rPr>
        <w:t>TripDetective</w:t>
      </w:r>
      <w:proofErr w:type="spellEnd"/>
      <w:r w:rsidRPr="00C73DF2">
        <w:t xml:space="preserve"> per day.</w:t>
      </w:r>
    </w:p>
    <w:p w14:paraId="18FFF49C" w14:textId="77777777" w:rsidR="00C73DF2" w:rsidRPr="00C73DF2" w:rsidRDefault="00C73DF2" w:rsidP="00C73DF2">
      <w:pPr>
        <w:pStyle w:val="APALevel3"/>
      </w:pPr>
      <w:r w:rsidRPr="00C73DF2">
        <w:rPr>
          <w:noProof/>
          <w:lang w:val="de-DE" w:eastAsia="de-DE"/>
        </w:rPr>
        <w:drawing>
          <wp:inline distT="0" distB="0" distL="0" distR="0" wp14:anchorId="2D3050B2" wp14:editId="31948F89">
            <wp:extent cx="3744000" cy="2880000"/>
            <wp:effectExtent l="0" t="0" r="27940" b="15875"/>
            <wp:docPr id="6" name="Diagramm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E57CEDA" w14:textId="77777777" w:rsidR="00C73DF2" w:rsidRPr="00C73DF2" w:rsidRDefault="00C73DF2" w:rsidP="00C73DF2">
      <w:pPr>
        <w:pStyle w:val="APALevel3"/>
      </w:pPr>
    </w:p>
    <w:p w14:paraId="79A7544A" w14:textId="77777777" w:rsidR="00C73DF2" w:rsidRPr="00C73DF2" w:rsidRDefault="00C73DF2" w:rsidP="00C73DF2">
      <w:pPr>
        <w:pStyle w:val="APALevel3"/>
      </w:pPr>
      <w:r w:rsidRPr="00C73DF2">
        <w:t xml:space="preserve">Sickness absence in 2015 and 2016 (average number of days). </w:t>
      </w:r>
    </w:p>
    <w:p w14:paraId="23598595" w14:textId="77777777" w:rsidR="00C73DF2" w:rsidRPr="00C73DF2" w:rsidRDefault="00C73DF2" w:rsidP="00C73DF2">
      <w:pPr>
        <w:pStyle w:val="APALevel3"/>
      </w:pPr>
      <w:r w:rsidRPr="00C73DF2">
        <w:rPr>
          <w:noProof/>
          <w:lang w:val="de-DE" w:eastAsia="de-DE"/>
        </w:rPr>
        <w:drawing>
          <wp:inline distT="0" distB="0" distL="0" distR="0" wp14:anchorId="2B535090" wp14:editId="36467D54">
            <wp:extent cx="3744000" cy="1803600"/>
            <wp:effectExtent l="0" t="0" r="27940" b="25400"/>
            <wp:docPr id="7" name="Diagramm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6671C8" w14:textId="77777777" w:rsidR="00C73DF2" w:rsidRPr="00C73DF2" w:rsidRDefault="00C73DF2" w:rsidP="00C73DF2">
      <w:pPr>
        <w:pStyle w:val="APALevel3"/>
      </w:pPr>
      <w:r w:rsidRPr="00C73DF2">
        <w:lastRenderedPageBreak/>
        <w:t>Information from the marketing unit.</w:t>
      </w:r>
    </w:p>
    <w:p w14:paraId="4127D887" w14:textId="77777777" w:rsidR="00C73DF2" w:rsidRPr="00C73DF2" w:rsidRDefault="00C73DF2" w:rsidP="00C73DF2">
      <w:pPr>
        <w:pStyle w:val="APATextbody"/>
        <w:rPr>
          <w:lang w:val="en-US"/>
        </w:rPr>
      </w:pPr>
      <w:r w:rsidRPr="00C73DF2">
        <w:rPr>
          <w:lang w:val="en-US"/>
        </w:rPr>
        <w:t xml:space="preserve">This summer a new aggressive marketing </w:t>
      </w:r>
      <w:proofErr w:type="spellStart"/>
      <w:r w:rsidRPr="00C73DF2">
        <w:rPr>
          <w:lang w:val="en-US"/>
        </w:rPr>
        <w:t>campagne</w:t>
      </w:r>
      <w:proofErr w:type="spellEnd"/>
      <w:r w:rsidRPr="00C73DF2">
        <w:rPr>
          <w:lang w:val="en-US"/>
        </w:rPr>
        <w:t xml:space="preserve"> was designed. In the advertising spot </w:t>
      </w:r>
      <w:proofErr w:type="spellStart"/>
      <w:r w:rsidRPr="00C73DF2">
        <w:rPr>
          <w:lang w:val="en-US"/>
        </w:rPr>
        <w:t>Mr</w:t>
      </w:r>
      <w:proofErr w:type="spellEnd"/>
      <w:r w:rsidRPr="00C73DF2">
        <w:rPr>
          <w:lang w:val="en-US"/>
        </w:rPr>
        <w:t xml:space="preserve"> Tobias </w:t>
      </w:r>
      <w:proofErr w:type="spellStart"/>
      <w:r w:rsidRPr="00C73DF2">
        <w:rPr>
          <w:lang w:val="en-US"/>
        </w:rPr>
        <w:t>Kastner</w:t>
      </w:r>
      <w:proofErr w:type="spellEnd"/>
      <w:r w:rsidRPr="00C73DF2">
        <w:rPr>
          <w:lang w:val="en-US"/>
        </w:rPr>
        <w:t xml:space="preserve">, who is a leading actor of the serial </w:t>
      </w:r>
      <w:r w:rsidRPr="00C73DF2">
        <w:rPr>
          <w:i/>
          <w:lang w:val="en-US"/>
        </w:rPr>
        <w:t>Whistleblower,</w:t>
      </w:r>
      <w:r w:rsidRPr="00C73DF2">
        <w:rPr>
          <w:lang w:val="en-US"/>
        </w:rPr>
        <w:t xml:space="preserve"> was supposed to uncover </w:t>
      </w:r>
      <w:proofErr w:type="spellStart"/>
      <w:r w:rsidRPr="00C73DF2">
        <w:rPr>
          <w:i/>
          <w:lang w:val="en-US"/>
        </w:rPr>
        <w:t>TripDetective</w:t>
      </w:r>
      <w:proofErr w:type="spellEnd"/>
      <w:r w:rsidRPr="00C73DF2">
        <w:rPr>
          <w:i/>
          <w:lang w:val="en-US"/>
        </w:rPr>
        <w:t xml:space="preserve"> </w:t>
      </w:r>
      <w:r w:rsidRPr="00C73DF2">
        <w:rPr>
          <w:lang w:val="en-US"/>
        </w:rPr>
        <w:t xml:space="preserve">as an organization which collects all the data about hotels and flights and saves it properly. In the beginning, the negotiation with </w:t>
      </w:r>
      <w:proofErr w:type="spellStart"/>
      <w:r w:rsidRPr="00C73DF2">
        <w:rPr>
          <w:lang w:val="en-US"/>
        </w:rPr>
        <w:t>Mr</w:t>
      </w:r>
      <w:proofErr w:type="spellEnd"/>
      <w:r w:rsidRPr="00C73DF2">
        <w:rPr>
          <w:lang w:val="en-US"/>
        </w:rPr>
        <w:t xml:space="preserve"> </w:t>
      </w:r>
      <w:proofErr w:type="spellStart"/>
      <w:r w:rsidRPr="00C73DF2">
        <w:rPr>
          <w:lang w:val="en-US"/>
        </w:rPr>
        <w:t>Kastner</w:t>
      </w:r>
      <w:proofErr w:type="spellEnd"/>
      <w:r w:rsidRPr="00C73DF2">
        <w:rPr>
          <w:lang w:val="en-US"/>
        </w:rPr>
        <w:t xml:space="preserve"> was successful, but in September he refused to enter into a contract. He did not inform </w:t>
      </w:r>
      <w:proofErr w:type="spellStart"/>
      <w:r w:rsidRPr="00C73DF2">
        <w:rPr>
          <w:i/>
          <w:lang w:val="en-US"/>
        </w:rPr>
        <w:t>TripDetective</w:t>
      </w:r>
      <w:proofErr w:type="spellEnd"/>
      <w:r w:rsidRPr="00C73DF2">
        <w:rPr>
          <w:lang w:val="en-US"/>
        </w:rPr>
        <w:t xml:space="preserve"> about the reasons for this decision. </w:t>
      </w:r>
    </w:p>
    <w:p w14:paraId="30AA88D6" w14:textId="77777777" w:rsidR="00C73DF2" w:rsidRPr="00C73DF2" w:rsidRDefault="00C73DF2" w:rsidP="00C73DF2">
      <w:pPr>
        <w:pStyle w:val="APALevel3"/>
      </w:pPr>
      <w:r w:rsidRPr="00C73DF2">
        <w:t>Information about compensation policy.</w:t>
      </w:r>
    </w:p>
    <w:p w14:paraId="195052C2" w14:textId="77777777" w:rsidR="00C73DF2" w:rsidRPr="00C73DF2" w:rsidRDefault="00C73DF2" w:rsidP="00C73DF2">
      <w:pPr>
        <w:pStyle w:val="APATextbody"/>
        <w:rPr>
          <w:lang w:val="en-US"/>
        </w:rPr>
      </w:pPr>
      <w:r w:rsidRPr="00C73DF2">
        <w:rPr>
          <w:lang w:val="en-US"/>
        </w:rPr>
        <w:t xml:space="preserve">Seven months ago the well-established variable </w:t>
      </w:r>
      <w:proofErr w:type="spellStart"/>
      <w:r w:rsidRPr="00C73DF2">
        <w:rPr>
          <w:lang w:val="en-US"/>
        </w:rPr>
        <w:t>boni</w:t>
      </w:r>
      <w:proofErr w:type="spellEnd"/>
      <w:r w:rsidRPr="00C73DF2">
        <w:rPr>
          <w:lang w:val="en-US"/>
        </w:rPr>
        <w:t xml:space="preserve"> were replaced by a new compensation system following the current trend and consisting of the ad hoc </w:t>
      </w:r>
      <w:proofErr w:type="spellStart"/>
      <w:r w:rsidRPr="00C73DF2">
        <w:rPr>
          <w:lang w:val="en-US"/>
        </w:rPr>
        <w:t>boni</w:t>
      </w:r>
      <w:proofErr w:type="spellEnd"/>
      <w:r w:rsidRPr="00C73DF2">
        <w:rPr>
          <w:lang w:val="en-US"/>
        </w:rPr>
        <w:t xml:space="preserve"> and peer </w:t>
      </w:r>
      <w:proofErr w:type="spellStart"/>
      <w:r w:rsidRPr="00C73DF2">
        <w:rPr>
          <w:lang w:val="en-US"/>
        </w:rPr>
        <w:t>boni</w:t>
      </w:r>
      <w:proofErr w:type="spellEnd"/>
      <w:r w:rsidRPr="00C73DF2">
        <w:rPr>
          <w:lang w:val="en-US"/>
        </w:rPr>
        <w:t xml:space="preserve">. Ad hoc </w:t>
      </w:r>
      <w:proofErr w:type="spellStart"/>
      <w:r w:rsidRPr="00C73DF2">
        <w:rPr>
          <w:lang w:val="en-US"/>
        </w:rPr>
        <w:t>boni</w:t>
      </w:r>
      <w:proofErr w:type="spellEnd"/>
      <w:r w:rsidRPr="00C73DF2">
        <w:rPr>
          <w:lang w:val="en-US"/>
        </w:rPr>
        <w:t xml:space="preserve"> are high only under the premise that the enterprise was successful within a business year. Depending on the enterprise’s benefit the sum of the monetary reward is calculated and provided to the single divisions, where the managers distribute them between their employees. Despite this, </w:t>
      </w:r>
      <w:proofErr w:type="spellStart"/>
      <w:r w:rsidRPr="00C73DF2">
        <w:rPr>
          <w:i/>
          <w:lang w:val="en-US"/>
        </w:rPr>
        <w:t>TripDetective</w:t>
      </w:r>
      <w:proofErr w:type="spellEnd"/>
      <w:r w:rsidRPr="00C73DF2">
        <w:rPr>
          <w:lang w:val="en-US"/>
        </w:rPr>
        <w:t xml:space="preserve"> started to distinguish between the divisions: e.g., while the Marketing division receives ad hoc </w:t>
      </w:r>
      <w:proofErr w:type="spellStart"/>
      <w:r w:rsidRPr="00C73DF2">
        <w:rPr>
          <w:lang w:val="en-US"/>
        </w:rPr>
        <w:t>boni</w:t>
      </w:r>
      <w:proofErr w:type="spellEnd"/>
      <w:r w:rsidRPr="00C73DF2">
        <w:rPr>
          <w:lang w:val="en-US"/>
        </w:rPr>
        <w:t xml:space="preserve"> instead of variable </w:t>
      </w:r>
      <w:proofErr w:type="spellStart"/>
      <w:r w:rsidRPr="00C73DF2">
        <w:rPr>
          <w:lang w:val="en-US"/>
        </w:rPr>
        <w:t>boni</w:t>
      </w:r>
      <w:proofErr w:type="spellEnd"/>
      <w:r w:rsidRPr="00C73DF2">
        <w:rPr>
          <w:lang w:val="en-US"/>
        </w:rPr>
        <w:t xml:space="preserve">, the IT &amp; Development division does not receive any </w:t>
      </w:r>
      <w:proofErr w:type="spellStart"/>
      <w:r w:rsidRPr="00C73DF2">
        <w:rPr>
          <w:lang w:val="en-US"/>
        </w:rPr>
        <w:t>boni</w:t>
      </w:r>
      <w:proofErr w:type="spellEnd"/>
      <w:r w:rsidRPr="00C73DF2">
        <w:rPr>
          <w:lang w:val="en-US"/>
        </w:rPr>
        <w:t xml:space="preserve"> at all. It is explained by the fact that for the IT &amp; Development division no concrete goals could be defined in advance, otherwise their innovative thinking would be limited too stringently.</w:t>
      </w:r>
    </w:p>
    <w:p w14:paraId="3983AE39" w14:textId="77777777" w:rsidR="00C73DF2" w:rsidRPr="00C73DF2" w:rsidRDefault="00C73DF2" w:rsidP="00C73DF2">
      <w:pPr>
        <w:pStyle w:val="APATextbody"/>
        <w:rPr>
          <w:lang w:val="en-US"/>
        </w:rPr>
      </w:pPr>
      <w:r w:rsidRPr="00C73DF2">
        <w:rPr>
          <w:lang w:val="en-US"/>
        </w:rPr>
        <w:t xml:space="preserve">Peer </w:t>
      </w:r>
      <w:proofErr w:type="spellStart"/>
      <w:r w:rsidRPr="00C73DF2">
        <w:rPr>
          <w:lang w:val="en-US"/>
        </w:rPr>
        <w:t>boni</w:t>
      </w:r>
      <w:proofErr w:type="spellEnd"/>
      <w:r w:rsidRPr="00C73DF2">
        <w:rPr>
          <w:lang w:val="en-US"/>
        </w:rPr>
        <w:t xml:space="preserve"> are usually small amounts of money, which are distributed by colleagues, e.g. as a reward for a high engagement or willingness to help.</w:t>
      </w:r>
    </w:p>
    <w:p w14:paraId="0BBFA111" w14:textId="77777777" w:rsidR="00C73DF2" w:rsidRPr="00C73DF2" w:rsidRDefault="00C73DF2" w:rsidP="00C73DF2">
      <w:pPr>
        <w:pStyle w:val="APATextbody"/>
        <w:rPr>
          <w:lang w:val="en-US"/>
        </w:rPr>
      </w:pPr>
      <w:r w:rsidRPr="00C73DF2">
        <w:rPr>
          <w:lang w:val="en-US"/>
        </w:rPr>
        <w:t xml:space="preserve">While peer </w:t>
      </w:r>
      <w:proofErr w:type="spellStart"/>
      <w:r w:rsidRPr="00C73DF2">
        <w:rPr>
          <w:lang w:val="en-US"/>
        </w:rPr>
        <w:t>boni</w:t>
      </w:r>
      <w:proofErr w:type="spellEnd"/>
      <w:r w:rsidRPr="00C73DF2">
        <w:rPr>
          <w:lang w:val="en-US"/>
        </w:rPr>
        <w:t xml:space="preserve"> are widely accepted by the employees, ad hoc </w:t>
      </w:r>
      <w:proofErr w:type="spellStart"/>
      <w:r w:rsidRPr="00C73DF2">
        <w:rPr>
          <w:lang w:val="en-US"/>
        </w:rPr>
        <w:t>boni</w:t>
      </w:r>
      <w:proofErr w:type="spellEnd"/>
      <w:r w:rsidRPr="00C73DF2">
        <w:rPr>
          <w:lang w:val="en-US"/>
        </w:rPr>
        <w:t xml:space="preserve"> cause a lot of </w:t>
      </w:r>
      <w:hyperlink r:id="rId9" w:tooltip="frequency: 4245" w:history="1">
        <w:r w:rsidRPr="00C73DF2">
          <w:rPr>
            <w:rStyle w:val="Hyperlink"/>
            <w:color w:val="auto"/>
            <w:u w:val="none"/>
            <w:lang w:val="en-US"/>
          </w:rPr>
          <w:t>complaint</w:t>
        </w:r>
      </w:hyperlink>
      <w:r w:rsidRPr="00C73DF2">
        <w:rPr>
          <w:lang w:val="en-US"/>
        </w:rPr>
        <w:t>s.</w:t>
      </w:r>
      <w:r w:rsidRPr="00C73DF2">
        <w:rPr>
          <w:rFonts w:asciiTheme="minorHAnsi" w:hAnsiTheme="minorHAnsi" w:cstheme="minorBidi"/>
          <w:sz w:val="22"/>
          <w:szCs w:val="22"/>
          <w:lang w:val="en-US"/>
        </w:rPr>
        <w:t xml:space="preserve"> </w:t>
      </w:r>
      <w:r w:rsidRPr="00C73DF2">
        <w:rPr>
          <w:lang w:val="en-US"/>
        </w:rPr>
        <w:t xml:space="preserve">High performance employees particularly provide following feedback to managers: they find it not fair, that their monetary reward depends on external factors such as the current market situation or the performance of their colleagues. They often mention poor </w:t>
      </w:r>
      <w:r w:rsidRPr="00C73DF2">
        <w:rPr>
          <w:lang w:val="en-US"/>
        </w:rPr>
        <w:lastRenderedPageBreak/>
        <w:t xml:space="preserve">transparency and notice that in contrast to </w:t>
      </w:r>
      <w:proofErr w:type="spellStart"/>
      <w:r w:rsidRPr="00C73DF2">
        <w:rPr>
          <w:i/>
          <w:lang w:val="en-US"/>
        </w:rPr>
        <w:t>TripDetective</w:t>
      </w:r>
      <w:proofErr w:type="spellEnd"/>
      <w:r w:rsidRPr="00C73DF2">
        <w:rPr>
          <w:lang w:val="en-US"/>
        </w:rPr>
        <w:t xml:space="preserve"> its direct competitor </w:t>
      </w:r>
      <w:proofErr w:type="spellStart"/>
      <w:r w:rsidRPr="00C73DF2">
        <w:rPr>
          <w:i/>
          <w:lang w:val="en-US"/>
        </w:rPr>
        <w:t>SearchStar</w:t>
      </w:r>
      <w:proofErr w:type="spellEnd"/>
      <w:r w:rsidRPr="00C73DF2">
        <w:rPr>
          <w:i/>
          <w:lang w:val="en-US"/>
        </w:rPr>
        <w:t xml:space="preserve"> </w:t>
      </w:r>
      <w:r w:rsidRPr="00C73DF2">
        <w:rPr>
          <w:lang w:val="en-US"/>
        </w:rPr>
        <w:t xml:space="preserve">makes the information about compensation and </w:t>
      </w:r>
      <w:proofErr w:type="spellStart"/>
      <w:r w:rsidRPr="00C73DF2">
        <w:rPr>
          <w:lang w:val="en-US"/>
        </w:rPr>
        <w:t>boni</w:t>
      </w:r>
      <w:proofErr w:type="spellEnd"/>
      <w:r w:rsidRPr="00C73DF2">
        <w:rPr>
          <w:lang w:val="en-US"/>
        </w:rPr>
        <w:t xml:space="preserve"> publicly available since 2014.</w:t>
      </w:r>
    </w:p>
    <w:p w14:paraId="5192D347" w14:textId="77777777" w:rsidR="00C73DF2" w:rsidRPr="00C73DF2" w:rsidRDefault="00C73DF2" w:rsidP="00C73DF2">
      <w:pPr>
        <w:pStyle w:val="APALevel3"/>
      </w:pPr>
      <w:r w:rsidRPr="00C73DF2">
        <w:t>Information about media presence.</w:t>
      </w:r>
    </w:p>
    <w:p w14:paraId="08C03D49" w14:textId="77777777" w:rsidR="00C73DF2" w:rsidRPr="00C73DF2" w:rsidRDefault="00C73DF2" w:rsidP="00C73DF2">
      <w:pPr>
        <w:pStyle w:val="APATextbody"/>
        <w:rPr>
          <w:lang w:val="en-US"/>
        </w:rPr>
      </w:pPr>
      <w:r w:rsidRPr="00C73DF2">
        <w:rPr>
          <w:lang w:val="en-US"/>
        </w:rPr>
        <w:t>On 2</w:t>
      </w:r>
      <w:r w:rsidRPr="00C73DF2">
        <w:rPr>
          <w:vertAlign w:val="superscript"/>
          <w:lang w:val="en-US"/>
        </w:rPr>
        <w:t>nd</w:t>
      </w:r>
      <w:r w:rsidRPr="00C73DF2">
        <w:rPr>
          <w:lang w:val="en-US"/>
        </w:rPr>
        <w:t xml:space="preserve"> September 2016 the prestigious newspaper reported about a </w:t>
      </w:r>
      <w:r w:rsidR="00115041">
        <w:fldChar w:fldCharType="begin"/>
      </w:r>
      <w:r w:rsidR="00115041" w:rsidRPr="00115041">
        <w:rPr>
          <w:lang w:val="en-US"/>
        </w:rPr>
        <w:instrText xml:space="preserve"> HYPERLINK "https://www.linguee.de/englisch-deutsch/uebersetzung/written+warning.html" </w:instrText>
      </w:r>
      <w:r w:rsidR="00115041">
        <w:fldChar w:fldCharType="separate"/>
      </w:r>
      <w:r w:rsidRPr="00C73DF2">
        <w:rPr>
          <w:rStyle w:val="Hyperlink"/>
          <w:color w:val="auto"/>
          <w:u w:val="none"/>
          <w:lang w:val="en-US"/>
        </w:rPr>
        <w:t>written warning</w:t>
      </w:r>
      <w:r w:rsidR="00115041">
        <w:rPr>
          <w:rStyle w:val="Hyperlink"/>
          <w:color w:val="auto"/>
          <w:u w:val="none"/>
          <w:lang w:val="en-US"/>
        </w:rPr>
        <w:fldChar w:fldCharType="end"/>
      </w:r>
      <w:r w:rsidRPr="00C73DF2">
        <w:rPr>
          <w:lang w:val="en-US"/>
        </w:rPr>
        <w:t xml:space="preserve">, which another well-known price comparison engine, </w:t>
      </w:r>
      <w:proofErr w:type="spellStart"/>
      <w:r w:rsidRPr="00C73DF2">
        <w:rPr>
          <w:i/>
          <w:lang w:val="en-US"/>
        </w:rPr>
        <w:t>MyHoliday</w:t>
      </w:r>
      <w:proofErr w:type="spellEnd"/>
      <w:r w:rsidRPr="00C73DF2">
        <w:rPr>
          <w:lang w:val="en-US"/>
        </w:rPr>
        <w:t xml:space="preserve">, received from the </w:t>
      </w:r>
      <w:r w:rsidR="00115041">
        <w:fldChar w:fldCharType="begin"/>
      </w:r>
      <w:r w:rsidR="00115041" w:rsidRPr="00115041">
        <w:rPr>
          <w:lang w:val="en-US"/>
        </w:rPr>
        <w:instrText xml:space="preserve"> HYPERLINK "https://www.linguee.de/englis</w:instrText>
      </w:r>
      <w:r w:rsidR="00115041" w:rsidRPr="00115041">
        <w:rPr>
          <w:lang w:val="en-US"/>
        </w:rPr>
        <w:instrText xml:space="preserve">ch-deutsch/uebersetzung/cartel+office.html" </w:instrText>
      </w:r>
      <w:r w:rsidR="00115041">
        <w:fldChar w:fldCharType="separate"/>
      </w:r>
      <w:r w:rsidRPr="00C73DF2">
        <w:rPr>
          <w:rStyle w:val="Hyperlink"/>
          <w:color w:val="auto"/>
          <w:u w:val="none"/>
          <w:lang w:val="en-US"/>
        </w:rPr>
        <w:t>Cartel Office</w:t>
      </w:r>
      <w:r w:rsidR="00115041">
        <w:rPr>
          <w:rStyle w:val="Hyperlink"/>
          <w:color w:val="auto"/>
          <w:u w:val="none"/>
          <w:lang w:val="en-US"/>
        </w:rPr>
        <w:fldChar w:fldCharType="end"/>
      </w:r>
      <w:r w:rsidRPr="00C73DF2">
        <w:rPr>
          <w:lang w:val="en-US"/>
        </w:rPr>
        <w:t xml:space="preserve">. Its partner hotels had a contract obligation not to offer lower prices even if guests asked for the room reservation directly at the reception desk. Therefore </w:t>
      </w:r>
      <w:proofErr w:type="spellStart"/>
      <w:r w:rsidRPr="00C73DF2">
        <w:rPr>
          <w:i/>
          <w:lang w:val="en-US"/>
        </w:rPr>
        <w:t>MyHoliday</w:t>
      </w:r>
      <w:proofErr w:type="spellEnd"/>
      <w:r w:rsidRPr="00C73DF2">
        <w:rPr>
          <w:i/>
          <w:lang w:val="en-US"/>
        </w:rPr>
        <w:t xml:space="preserve"> </w:t>
      </w:r>
      <w:r w:rsidRPr="00C73DF2">
        <w:rPr>
          <w:lang w:val="en-US"/>
        </w:rPr>
        <w:t xml:space="preserve">had a possibility to raise the prices without fearing lower price offers, which is a critical problem for the free market. </w:t>
      </w:r>
    </w:p>
    <w:p w14:paraId="51FBE1F9" w14:textId="77777777" w:rsidR="00C73DF2" w:rsidRPr="00C73DF2" w:rsidRDefault="00C73DF2" w:rsidP="00C73DF2">
      <w:pPr>
        <w:pStyle w:val="APATextbody"/>
        <w:rPr>
          <w:i/>
          <w:lang w:val="en-US"/>
        </w:rPr>
      </w:pPr>
      <w:r w:rsidRPr="00C73DF2">
        <w:rPr>
          <w:lang w:val="en-US"/>
        </w:rPr>
        <w:t xml:space="preserve">Despite this, a hotel chain plans to proceed legally against </w:t>
      </w:r>
      <w:proofErr w:type="spellStart"/>
      <w:r w:rsidRPr="00C73DF2">
        <w:rPr>
          <w:i/>
          <w:lang w:val="en-US"/>
        </w:rPr>
        <w:t>MyHoliday</w:t>
      </w:r>
      <w:proofErr w:type="spellEnd"/>
      <w:r w:rsidRPr="00C73DF2">
        <w:rPr>
          <w:i/>
          <w:lang w:val="en-US"/>
        </w:rPr>
        <w:t>:</w:t>
      </w:r>
      <w:r w:rsidRPr="00C73DF2">
        <w:rPr>
          <w:lang w:val="en-US"/>
        </w:rPr>
        <w:t xml:space="preserve"> the price comparison engine bought multiple </w:t>
      </w:r>
      <w:r w:rsidRPr="00C73DF2">
        <w:rPr>
          <w:bCs/>
          <w:lang w:val="en-US"/>
        </w:rPr>
        <w:t>Internet addresses</w:t>
      </w:r>
      <w:r w:rsidRPr="00C73DF2">
        <w:rPr>
          <w:lang w:val="en-US"/>
        </w:rPr>
        <w:t xml:space="preserve"> including a combination of a hotel and destination names, pretending that customers made a reservation directly by the hotel chain. In fact, they were still booking via </w:t>
      </w:r>
      <w:proofErr w:type="spellStart"/>
      <w:r w:rsidRPr="00C73DF2">
        <w:rPr>
          <w:i/>
          <w:lang w:val="en-US"/>
        </w:rPr>
        <w:t>MyHoliday</w:t>
      </w:r>
      <w:proofErr w:type="spellEnd"/>
      <w:r w:rsidRPr="00C73DF2">
        <w:rPr>
          <w:i/>
          <w:lang w:val="en-US"/>
        </w:rPr>
        <w:t>.</w:t>
      </w:r>
    </w:p>
    <w:p w14:paraId="47190019" w14:textId="77777777" w:rsidR="00C73DF2" w:rsidRPr="00C73DF2" w:rsidRDefault="00C73DF2" w:rsidP="00C73DF2">
      <w:pPr>
        <w:pStyle w:val="APATextbody"/>
        <w:rPr>
          <w:lang w:val="en-US"/>
        </w:rPr>
      </w:pPr>
      <w:r w:rsidRPr="00C73DF2">
        <w:rPr>
          <w:lang w:val="en-US"/>
        </w:rPr>
        <w:t xml:space="preserve">An avalanche of further investigative articles focusing on </w:t>
      </w:r>
      <w:hyperlink r:id="rId10" w:history="1">
        <w:r w:rsidRPr="00C73DF2">
          <w:rPr>
            <w:lang w:val="en-US"/>
          </w:rPr>
          <w:t>delinquency</w:t>
        </w:r>
      </w:hyperlink>
      <w:r w:rsidRPr="00C73DF2">
        <w:rPr>
          <w:lang w:val="en-US"/>
        </w:rPr>
        <w:t xml:space="preserve"> of different price comparison engines was triggered. They listed, for example, illegally received or faked quality certificates, manipulated hotel rankings, hidden service fees and original prices, which were signed as “70% off” offers. </w:t>
      </w:r>
    </w:p>
    <w:p w14:paraId="2525957A" w14:textId="77777777" w:rsidR="00C73DF2" w:rsidRPr="00C73DF2" w:rsidRDefault="00C73DF2" w:rsidP="00C73DF2">
      <w:pPr>
        <w:rPr>
          <w:rFonts w:ascii="Times New Roman" w:hAnsi="Times New Roman" w:cs="Times New Roman"/>
          <w:sz w:val="24"/>
          <w:szCs w:val="24"/>
          <w:lang w:val="en-US"/>
        </w:rPr>
      </w:pPr>
      <w:r w:rsidRPr="00C73DF2">
        <w:rPr>
          <w:lang w:val="en-US"/>
        </w:rPr>
        <w:br w:type="page"/>
      </w:r>
    </w:p>
    <w:p w14:paraId="2DE42D5B" w14:textId="77777777" w:rsidR="00C73DF2" w:rsidRPr="00C73DF2" w:rsidRDefault="00C73DF2" w:rsidP="00C73DF2">
      <w:pPr>
        <w:pStyle w:val="APALevel1"/>
        <w:jc w:val="left"/>
        <w:rPr>
          <w:lang w:val="en-US"/>
        </w:rPr>
      </w:pPr>
      <w:r w:rsidRPr="00C73DF2">
        <w:rPr>
          <w:lang w:val="en-US"/>
        </w:rPr>
        <w:lastRenderedPageBreak/>
        <w:t>Table A1</w:t>
      </w:r>
    </w:p>
    <w:p w14:paraId="25ACD334" w14:textId="77777777" w:rsidR="00C73DF2" w:rsidRPr="00C73DF2" w:rsidRDefault="00C73DF2" w:rsidP="00C73DF2">
      <w:pPr>
        <w:pStyle w:val="APATextbody"/>
        <w:ind w:firstLine="0"/>
        <w:rPr>
          <w:i/>
          <w:lang w:val="en-US"/>
        </w:rPr>
      </w:pPr>
      <w:r w:rsidRPr="00C73DF2">
        <w:rPr>
          <w:i/>
          <w:lang w:val="en-US"/>
        </w:rPr>
        <w:t xml:space="preserve">Standard solution for the case study designed following the example of </w:t>
      </w:r>
      <w:r w:rsidRPr="00C73DF2">
        <w:rPr>
          <w:i/>
          <w:lang w:val="en-US"/>
        </w:rPr>
        <w:fldChar w:fldCharType="begin"/>
      </w:r>
      <w:r w:rsidRPr="00C73DF2">
        <w:rPr>
          <w:i/>
          <w:lang w:val="en-US"/>
        </w:rPr>
        <w:instrText xml:space="preserve"> ADDIN EN.CITE &lt;EndNote&gt;&lt;Cite AuthorYear="1"&gt;&lt;Author&gt;Brenner&lt;/Author&gt;&lt;Year&gt;2010&lt;/Year&gt;&lt;RecNum&gt;25&lt;/RecNum&gt;&lt;DisplayText&gt;Brenner and Brenner (2010)&lt;/DisplayText&gt;&lt;record&gt;&lt;rec-number&gt;25&lt;/rec-number&gt;&lt;foreign-keys&gt;&lt;key app="EN" db-id="zw2setz58szv02ear0avpzflz5dse0fv5pe0" timestamp="1465991784"&gt;25&lt;/key&gt;&lt;/foreign-keys&gt;&lt;ref-type name="Book"&gt;6&lt;/ref-type&gt;&lt;contributors&gt;&lt;authors&gt;&lt;author&gt;Brenner, Doris&lt;/author&gt;&lt;author&gt;Brenner, Frank&lt;/author&gt;&lt;/authors&gt;&lt;/contributors&gt;&lt;titles&gt;&lt;title&gt;Assessment Center&lt;/title&gt;&lt;/titles&gt;&lt;volume&gt;3&lt;/volume&gt;&lt;dates&gt;&lt;year&gt;2010&lt;/year&gt;&lt;/dates&gt;&lt;pub-location&gt;Offenbach&lt;/pub-location&gt;&lt;publisher&gt;GABAL Verlag GmbH&lt;/publisher&gt;&lt;urls&gt;&lt;/urls&gt;&lt;/record&gt;&lt;/Cite&gt;&lt;/EndNote&gt;</w:instrText>
      </w:r>
      <w:r w:rsidRPr="00C73DF2">
        <w:rPr>
          <w:i/>
          <w:lang w:val="en-US"/>
        </w:rPr>
        <w:fldChar w:fldCharType="separate"/>
      </w:r>
      <w:r w:rsidRPr="00C73DF2">
        <w:rPr>
          <w:i/>
          <w:noProof/>
          <w:lang w:val="en-US"/>
        </w:rPr>
        <w:t>Brenner and Brenner (2010)</w:t>
      </w:r>
      <w:r w:rsidRPr="00C73DF2">
        <w:rPr>
          <w:i/>
          <w:lang w:val="en-US"/>
        </w:rPr>
        <w:fldChar w:fldCharType="end"/>
      </w:r>
    </w:p>
    <w:p w14:paraId="722F2EE1" w14:textId="77777777" w:rsidR="00C73DF2" w:rsidRPr="00C73DF2" w:rsidRDefault="00C73DF2" w:rsidP="00C73DF2">
      <w:pPr>
        <w:pStyle w:val="APALevel1"/>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03"/>
        <w:gridCol w:w="3504"/>
      </w:tblGrid>
      <w:tr w:rsidR="00C73DF2" w:rsidRPr="00C73DF2" w14:paraId="33ABE432" w14:textId="77777777" w:rsidTr="00B21197">
        <w:tc>
          <w:tcPr>
            <w:tcW w:w="2235" w:type="dxa"/>
            <w:tcBorders>
              <w:bottom w:val="single" w:sz="4" w:space="0" w:color="auto"/>
            </w:tcBorders>
          </w:tcPr>
          <w:p w14:paraId="17266866" w14:textId="77777777" w:rsidR="00C73DF2" w:rsidRPr="00C73DF2" w:rsidRDefault="00C73DF2" w:rsidP="00B21197">
            <w:pPr>
              <w:spacing w:after="120"/>
              <w:rPr>
                <w:rFonts w:ascii="Times New Roman" w:hAnsi="Times New Roman" w:cs="Times New Roman"/>
                <w:sz w:val="24"/>
                <w:szCs w:val="24"/>
                <w:lang w:val="en-US"/>
              </w:rPr>
            </w:pPr>
            <w:r w:rsidRPr="00C73DF2">
              <w:rPr>
                <w:rFonts w:ascii="Times New Roman" w:hAnsi="Times New Roman" w:cs="Times New Roman"/>
                <w:sz w:val="24"/>
                <w:szCs w:val="24"/>
                <w:lang w:val="en-US"/>
              </w:rPr>
              <w:t xml:space="preserve">Problem </w:t>
            </w:r>
          </w:p>
        </w:tc>
        <w:tc>
          <w:tcPr>
            <w:tcW w:w="3503" w:type="dxa"/>
            <w:tcBorders>
              <w:bottom w:val="single" w:sz="4" w:space="0" w:color="auto"/>
            </w:tcBorders>
          </w:tcPr>
          <w:p w14:paraId="377FD1DE" w14:textId="77777777" w:rsidR="00C73DF2" w:rsidRPr="00C73DF2" w:rsidRDefault="00C73DF2" w:rsidP="00B21197">
            <w:pPr>
              <w:spacing w:after="120"/>
              <w:rPr>
                <w:rFonts w:ascii="Times New Roman" w:hAnsi="Times New Roman" w:cs="Times New Roman"/>
                <w:sz w:val="24"/>
                <w:szCs w:val="24"/>
                <w:lang w:val="en-US"/>
              </w:rPr>
            </w:pPr>
            <w:r w:rsidRPr="00C73DF2">
              <w:rPr>
                <w:rFonts w:ascii="Times New Roman" w:hAnsi="Times New Roman" w:cs="Times New Roman"/>
                <w:sz w:val="24"/>
                <w:szCs w:val="24"/>
                <w:lang w:val="en-US"/>
              </w:rPr>
              <w:t>Possible reason(s)</w:t>
            </w:r>
          </w:p>
        </w:tc>
        <w:tc>
          <w:tcPr>
            <w:tcW w:w="3504" w:type="dxa"/>
            <w:tcBorders>
              <w:bottom w:val="single" w:sz="4" w:space="0" w:color="auto"/>
            </w:tcBorders>
          </w:tcPr>
          <w:p w14:paraId="3DA3100F" w14:textId="77777777" w:rsidR="00C73DF2" w:rsidRPr="00C73DF2" w:rsidRDefault="00C73DF2" w:rsidP="00B21197">
            <w:pPr>
              <w:spacing w:after="120"/>
              <w:rPr>
                <w:rFonts w:ascii="Times New Roman" w:hAnsi="Times New Roman" w:cs="Times New Roman"/>
                <w:sz w:val="24"/>
                <w:szCs w:val="24"/>
                <w:lang w:val="en-US"/>
              </w:rPr>
            </w:pPr>
            <w:r w:rsidRPr="00C73DF2">
              <w:rPr>
                <w:rFonts w:ascii="Times New Roman" w:hAnsi="Times New Roman" w:cs="Times New Roman"/>
                <w:sz w:val="24"/>
                <w:szCs w:val="24"/>
                <w:lang w:val="en-US"/>
              </w:rPr>
              <w:t xml:space="preserve">Solution approach(s)/idea(s) </w:t>
            </w:r>
          </w:p>
        </w:tc>
      </w:tr>
      <w:tr w:rsidR="00C73DF2" w:rsidRPr="00C73DF2" w14:paraId="11F780E1" w14:textId="77777777" w:rsidTr="00B21197">
        <w:trPr>
          <w:trHeight w:val="941"/>
        </w:trPr>
        <w:tc>
          <w:tcPr>
            <w:tcW w:w="2235" w:type="dxa"/>
            <w:tcBorders>
              <w:top w:val="single" w:sz="4" w:space="0" w:color="auto"/>
              <w:bottom w:val="single" w:sz="4" w:space="0" w:color="auto"/>
            </w:tcBorders>
          </w:tcPr>
          <w:p w14:paraId="645E1659" w14:textId="77777777" w:rsidR="00C73DF2" w:rsidRPr="00C73DF2" w:rsidRDefault="00C73DF2" w:rsidP="00B21197">
            <w:pPr>
              <w:spacing w:after="120"/>
              <w:rPr>
                <w:rFonts w:ascii="Times New Roman" w:hAnsi="Times New Roman" w:cs="Times New Roman"/>
                <w:sz w:val="24"/>
                <w:szCs w:val="24"/>
                <w:lang w:val="en-US"/>
              </w:rPr>
            </w:pPr>
            <w:r w:rsidRPr="00C73DF2">
              <w:rPr>
                <w:rFonts w:ascii="Times New Roman" w:hAnsi="Times New Roman" w:cs="Times New Roman"/>
                <w:sz w:val="24"/>
                <w:szCs w:val="24"/>
                <w:lang w:val="en-US"/>
              </w:rPr>
              <w:t>no online community for rent land houses</w:t>
            </w:r>
          </w:p>
          <w:p w14:paraId="088C396A" w14:textId="77777777" w:rsidR="00C73DF2" w:rsidRPr="00C73DF2" w:rsidRDefault="00C73DF2" w:rsidP="00B21197">
            <w:pPr>
              <w:spacing w:after="120"/>
              <w:rPr>
                <w:rFonts w:ascii="Times New Roman" w:hAnsi="Times New Roman" w:cs="Times New Roman"/>
                <w:sz w:val="24"/>
                <w:szCs w:val="24"/>
                <w:lang w:val="en-US"/>
              </w:rPr>
            </w:pPr>
          </w:p>
        </w:tc>
        <w:tc>
          <w:tcPr>
            <w:tcW w:w="3503" w:type="dxa"/>
            <w:tcBorders>
              <w:top w:val="single" w:sz="4" w:space="0" w:color="auto"/>
              <w:bottom w:val="single" w:sz="4" w:space="0" w:color="auto"/>
            </w:tcBorders>
          </w:tcPr>
          <w:p w14:paraId="06834C43" w14:textId="77777777" w:rsidR="00C73DF2" w:rsidRPr="00C73DF2" w:rsidRDefault="00C73DF2" w:rsidP="00B21197">
            <w:pPr>
              <w:spacing w:after="120"/>
              <w:rPr>
                <w:rFonts w:ascii="Times New Roman" w:hAnsi="Times New Roman" w:cs="Times New Roman"/>
                <w:sz w:val="24"/>
                <w:szCs w:val="24"/>
                <w:lang w:val="en-US"/>
              </w:rPr>
            </w:pPr>
            <w:r w:rsidRPr="00C73DF2">
              <w:rPr>
                <w:rFonts w:ascii="Times New Roman" w:hAnsi="Times New Roman" w:cs="Times New Roman"/>
                <w:sz w:val="24"/>
                <w:szCs w:val="24"/>
                <w:lang w:val="en-US"/>
              </w:rPr>
              <w:t>unplanned delay, unmotivated social media team</w:t>
            </w:r>
          </w:p>
        </w:tc>
        <w:tc>
          <w:tcPr>
            <w:tcW w:w="3504" w:type="dxa"/>
            <w:tcBorders>
              <w:top w:val="single" w:sz="4" w:space="0" w:color="auto"/>
              <w:bottom w:val="single" w:sz="4" w:space="0" w:color="auto"/>
            </w:tcBorders>
          </w:tcPr>
          <w:p w14:paraId="76115504" w14:textId="77777777" w:rsidR="00C73DF2" w:rsidRPr="00C73DF2" w:rsidRDefault="00C73DF2" w:rsidP="00C73DF2">
            <w:pPr>
              <w:pStyle w:val="Listenabsatz"/>
              <w:numPr>
                <w:ilvl w:val="0"/>
                <w:numId w:val="1"/>
              </w:numPr>
              <w:spacing w:after="120" w:line="240" w:lineRule="auto"/>
              <w:rPr>
                <w:rFonts w:ascii="Times New Roman" w:hAnsi="Times New Roman" w:cs="Times New Roman"/>
                <w:sz w:val="24"/>
                <w:szCs w:val="24"/>
                <w:lang w:val="en-US"/>
              </w:rPr>
            </w:pPr>
            <w:r w:rsidRPr="00C73DF2">
              <w:rPr>
                <w:rFonts w:ascii="Times New Roman" w:hAnsi="Times New Roman" w:cs="Times New Roman"/>
                <w:sz w:val="24"/>
                <w:szCs w:val="24"/>
                <w:lang w:val="en-US"/>
              </w:rPr>
              <w:t>to develop an online community (e.g. by providing points or discount for rating the land houses)</w:t>
            </w:r>
          </w:p>
        </w:tc>
      </w:tr>
      <w:tr w:rsidR="00C73DF2" w:rsidRPr="00C73DF2" w14:paraId="4A254282" w14:textId="77777777" w:rsidTr="00B21197">
        <w:trPr>
          <w:trHeight w:val="1281"/>
        </w:trPr>
        <w:tc>
          <w:tcPr>
            <w:tcW w:w="2235" w:type="dxa"/>
            <w:tcBorders>
              <w:bottom w:val="single" w:sz="4" w:space="0" w:color="auto"/>
            </w:tcBorders>
          </w:tcPr>
          <w:p w14:paraId="5F17E61E" w14:textId="77777777" w:rsidR="00C73DF2" w:rsidRPr="00C73DF2" w:rsidRDefault="00C73DF2" w:rsidP="00B21197">
            <w:pPr>
              <w:spacing w:after="120"/>
              <w:rPr>
                <w:rFonts w:ascii="Times New Roman" w:hAnsi="Times New Roman" w:cs="Times New Roman"/>
                <w:sz w:val="24"/>
                <w:szCs w:val="24"/>
                <w:lang w:val="en-US"/>
              </w:rPr>
            </w:pPr>
            <w:r w:rsidRPr="00C73DF2">
              <w:rPr>
                <w:rFonts w:ascii="Times New Roman" w:hAnsi="Times New Roman" w:cs="Times New Roman"/>
                <w:sz w:val="24"/>
                <w:szCs w:val="24"/>
                <w:lang w:val="en-US"/>
              </w:rPr>
              <w:t>the application for the service quality certificate takes too long</w:t>
            </w:r>
          </w:p>
        </w:tc>
        <w:tc>
          <w:tcPr>
            <w:tcW w:w="3503" w:type="dxa"/>
            <w:tcBorders>
              <w:bottom w:val="single" w:sz="4" w:space="0" w:color="auto"/>
            </w:tcBorders>
          </w:tcPr>
          <w:p w14:paraId="32E3F773" w14:textId="77777777" w:rsidR="00C73DF2" w:rsidRPr="00C73DF2" w:rsidRDefault="00C73DF2" w:rsidP="00B21197">
            <w:pPr>
              <w:spacing w:after="120"/>
              <w:rPr>
                <w:rFonts w:ascii="Times New Roman" w:hAnsi="Times New Roman" w:cs="Times New Roman"/>
                <w:sz w:val="24"/>
                <w:szCs w:val="24"/>
                <w:lang w:val="en-US"/>
              </w:rPr>
            </w:pPr>
            <w:proofErr w:type="spellStart"/>
            <w:r w:rsidRPr="00C73DF2">
              <w:rPr>
                <w:rFonts w:ascii="Times New Roman" w:hAnsi="Times New Roman" w:cs="Times New Roman"/>
                <w:sz w:val="24"/>
                <w:szCs w:val="24"/>
                <w:lang w:val="en-US"/>
              </w:rPr>
              <w:t>irreliability</w:t>
            </w:r>
            <w:proofErr w:type="spellEnd"/>
            <w:r w:rsidRPr="00C73DF2">
              <w:rPr>
                <w:rFonts w:ascii="Times New Roman" w:hAnsi="Times New Roman" w:cs="Times New Roman"/>
                <w:sz w:val="24"/>
                <w:szCs w:val="24"/>
                <w:lang w:val="en-US"/>
              </w:rPr>
              <w:t xml:space="preserve"> of the consumer organization</w:t>
            </w:r>
          </w:p>
        </w:tc>
        <w:tc>
          <w:tcPr>
            <w:tcW w:w="3504" w:type="dxa"/>
            <w:tcBorders>
              <w:bottom w:val="single" w:sz="4" w:space="0" w:color="auto"/>
            </w:tcBorders>
          </w:tcPr>
          <w:p w14:paraId="6E98B57D" w14:textId="77777777" w:rsidR="00C73DF2" w:rsidRPr="00C73DF2" w:rsidRDefault="00C73DF2" w:rsidP="00C73DF2">
            <w:pPr>
              <w:pStyle w:val="Listenabsatz"/>
              <w:numPr>
                <w:ilvl w:val="0"/>
                <w:numId w:val="1"/>
              </w:numPr>
              <w:spacing w:after="120" w:line="240" w:lineRule="auto"/>
              <w:rPr>
                <w:rFonts w:ascii="Times New Roman" w:hAnsi="Times New Roman" w:cs="Times New Roman"/>
                <w:sz w:val="24"/>
                <w:szCs w:val="24"/>
                <w:lang w:val="en-US"/>
              </w:rPr>
            </w:pPr>
            <w:r w:rsidRPr="00C73DF2">
              <w:rPr>
                <w:rFonts w:ascii="Times New Roman" w:hAnsi="Times New Roman" w:cs="Times New Roman"/>
                <w:sz w:val="24"/>
                <w:szCs w:val="24"/>
                <w:lang w:val="en-US"/>
              </w:rPr>
              <w:t xml:space="preserve">to insist on meeting deadlines. </w:t>
            </w:r>
          </w:p>
          <w:p w14:paraId="73777DE2" w14:textId="77777777" w:rsidR="00C73DF2" w:rsidRPr="00C73DF2" w:rsidRDefault="00C73DF2" w:rsidP="00C73DF2">
            <w:pPr>
              <w:pStyle w:val="Listenabsatz"/>
              <w:numPr>
                <w:ilvl w:val="0"/>
                <w:numId w:val="1"/>
              </w:numPr>
              <w:spacing w:after="120" w:line="240" w:lineRule="auto"/>
              <w:rPr>
                <w:rFonts w:ascii="Times New Roman" w:hAnsi="Times New Roman" w:cs="Times New Roman"/>
                <w:sz w:val="24"/>
                <w:szCs w:val="24"/>
                <w:lang w:val="en-US"/>
              </w:rPr>
            </w:pPr>
            <w:r w:rsidRPr="00C73DF2">
              <w:rPr>
                <w:rFonts w:ascii="Times New Roman" w:hAnsi="Times New Roman" w:cs="Times New Roman"/>
                <w:sz w:val="24"/>
                <w:szCs w:val="24"/>
                <w:lang w:val="en-US"/>
              </w:rPr>
              <w:t>to find another consumer organization working faster</w:t>
            </w:r>
          </w:p>
        </w:tc>
      </w:tr>
      <w:tr w:rsidR="00C73DF2" w:rsidRPr="00C73DF2" w14:paraId="6A2297E2" w14:textId="77777777" w:rsidTr="00B21197">
        <w:trPr>
          <w:trHeight w:val="1837"/>
        </w:trPr>
        <w:tc>
          <w:tcPr>
            <w:tcW w:w="2235" w:type="dxa"/>
            <w:tcBorders>
              <w:bottom w:val="single" w:sz="4" w:space="0" w:color="auto"/>
            </w:tcBorders>
          </w:tcPr>
          <w:p w14:paraId="1275555D" w14:textId="77777777" w:rsidR="00C73DF2" w:rsidRPr="00C73DF2" w:rsidRDefault="00C73DF2" w:rsidP="00B21197">
            <w:pPr>
              <w:spacing w:after="120"/>
              <w:rPr>
                <w:rFonts w:ascii="Times New Roman" w:hAnsi="Times New Roman" w:cs="Times New Roman"/>
                <w:sz w:val="24"/>
                <w:szCs w:val="24"/>
                <w:lang w:val="en-US"/>
              </w:rPr>
            </w:pPr>
            <w:r w:rsidRPr="00C73DF2">
              <w:rPr>
                <w:rFonts w:ascii="Times New Roman" w:hAnsi="Times New Roman" w:cs="Times New Roman"/>
                <w:sz w:val="24"/>
                <w:szCs w:val="24"/>
                <w:lang w:val="en-US"/>
              </w:rPr>
              <w:t xml:space="preserve">lack of job satisfaction and high sickness absence </w:t>
            </w:r>
          </w:p>
          <w:p w14:paraId="3A5885FC" w14:textId="77777777" w:rsidR="00C73DF2" w:rsidRPr="00C73DF2" w:rsidRDefault="00C73DF2" w:rsidP="00B21197">
            <w:pPr>
              <w:spacing w:after="120"/>
              <w:rPr>
                <w:rFonts w:ascii="Times New Roman" w:hAnsi="Times New Roman" w:cs="Times New Roman"/>
                <w:sz w:val="24"/>
                <w:szCs w:val="24"/>
                <w:lang w:val="en-US"/>
              </w:rPr>
            </w:pPr>
          </w:p>
        </w:tc>
        <w:tc>
          <w:tcPr>
            <w:tcW w:w="3503" w:type="dxa"/>
            <w:tcBorders>
              <w:bottom w:val="single" w:sz="4" w:space="0" w:color="auto"/>
            </w:tcBorders>
          </w:tcPr>
          <w:p w14:paraId="7118ED09" w14:textId="77777777" w:rsidR="00C73DF2" w:rsidRPr="00C73DF2" w:rsidRDefault="00C73DF2" w:rsidP="00B21197">
            <w:pPr>
              <w:spacing w:after="120"/>
              <w:rPr>
                <w:rFonts w:ascii="Times New Roman" w:hAnsi="Times New Roman" w:cs="Times New Roman"/>
                <w:sz w:val="24"/>
                <w:szCs w:val="24"/>
                <w:lang w:val="en-US"/>
              </w:rPr>
            </w:pPr>
            <w:r w:rsidRPr="00C73DF2">
              <w:rPr>
                <w:rFonts w:ascii="Times New Roman" w:hAnsi="Times New Roman" w:cs="Times New Roman"/>
                <w:sz w:val="24"/>
                <w:szCs w:val="24"/>
                <w:lang w:val="en-US"/>
              </w:rPr>
              <w:t xml:space="preserve">the fast growth of the employee number, retarded development of the HR development, negative reaction to ad hoc </w:t>
            </w:r>
            <w:proofErr w:type="spellStart"/>
            <w:r w:rsidRPr="00C73DF2">
              <w:rPr>
                <w:rFonts w:ascii="Times New Roman" w:hAnsi="Times New Roman" w:cs="Times New Roman"/>
                <w:sz w:val="24"/>
                <w:szCs w:val="24"/>
                <w:lang w:val="en-US"/>
              </w:rPr>
              <w:t>boni</w:t>
            </w:r>
            <w:proofErr w:type="spellEnd"/>
          </w:p>
        </w:tc>
        <w:tc>
          <w:tcPr>
            <w:tcW w:w="3504" w:type="dxa"/>
            <w:tcBorders>
              <w:bottom w:val="single" w:sz="4" w:space="0" w:color="auto"/>
            </w:tcBorders>
          </w:tcPr>
          <w:p w14:paraId="644A5FF6" w14:textId="77777777" w:rsidR="00C73DF2" w:rsidRPr="00C73DF2" w:rsidRDefault="00C73DF2" w:rsidP="00C73DF2">
            <w:pPr>
              <w:pStyle w:val="Listenabsatz"/>
              <w:numPr>
                <w:ilvl w:val="0"/>
                <w:numId w:val="1"/>
              </w:numPr>
              <w:spacing w:after="120" w:line="240" w:lineRule="auto"/>
              <w:rPr>
                <w:rFonts w:ascii="Times New Roman" w:hAnsi="Times New Roman" w:cs="Times New Roman"/>
                <w:sz w:val="24"/>
                <w:szCs w:val="24"/>
                <w:lang w:val="en-US"/>
              </w:rPr>
            </w:pPr>
            <w:r w:rsidRPr="00C73DF2">
              <w:rPr>
                <w:rFonts w:ascii="Times New Roman" w:hAnsi="Times New Roman" w:cs="Times New Roman"/>
                <w:sz w:val="24"/>
                <w:szCs w:val="24"/>
                <w:lang w:val="en-US"/>
              </w:rPr>
              <w:t xml:space="preserve">to analyze the new reward system in detail (IT and development experts may perceive missing </w:t>
            </w:r>
            <w:proofErr w:type="spellStart"/>
            <w:r w:rsidRPr="00C73DF2">
              <w:rPr>
                <w:rFonts w:ascii="Times New Roman" w:hAnsi="Times New Roman" w:cs="Times New Roman"/>
                <w:sz w:val="24"/>
                <w:szCs w:val="24"/>
                <w:lang w:val="en-US"/>
              </w:rPr>
              <w:t>boni</w:t>
            </w:r>
            <w:proofErr w:type="spellEnd"/>
            <w:r w:rsidRPr="00C73DF2">
              <w:rPr>
                <w:rFonts w:ascii="Times New Roman" w:hAnsi="Times New Roman" w:cs="Times New Roman"/>
                <w:sz w:val="24"/>
                <w:szCs w:val="24"/>
                <w:lang w:val="en-US"/>
              </w:rPr>
              <w:t xml:space="preserve"> as unfair, because they contribute a lot to enterprise’s success). </w:t>
            </w:r>
          </w:p>
          <w:p w14:paraId="14505D93" w14:textId="77777777" w:rsidR="00C73DF2" w:rsidRPr="00C73DF2" w:rsidRDefault="00C73DF2" w:rsidP="00C73DF2">
            <w:pPr>
              <w:pStyle w:val="Listenabsatz"/>
              <w:numPr>
                <w:ilvl w:val="0"/>
                <w:numId w:val="1"/>
              </w:numPr>
              <w:spacing w:after="120" w:line="240" w:lineRule="auto"/>
              <w:rPr>
                <w:rFonts w:ascii="Times New Roman" w:hAnsi="Times New Roman" w:cs="Times New Roman"/>
                <w:sz w:val="24"/>
                <w:szCs w:val="24"/>
                <w:lang w:val="en-US"/>
              </w:rPr>
            </w:pPr>
            <w:r w:rsidRPr="00C73DF2">
              <w:rPr>
                <w:rFonts w:ascii="Times New Roman" w:hAnsi="Times New Roman" w:cs="Times New Roman"/>
                <w:sz w:val="24"/>
                <w:szCs w:val="24"/>
                <w:lang w:val="en-US"/>
              </w:rPr>
              <w:t xml:space="preserve">to follow the </w:t>
            </w:r>
            <w:proofErr w:type="spellStart"/>
            <w:r w:rsidRPr="00C73DF2">
              <w:rPr>
                <w:rFonts w:ascii="Times New Roman" w:hAnsi="Times New Roman" w:cs="Times New Roman"/>
                <w:i/>
                <w:sz w:val="24"/>
                <w:szCs w:val="24"/>
                <w:lang w:val="en-US"/>
              </w:rPr>
              <w:t>SearchStar’s</w:t>
            </w:r>
            <w:proofErr w:type="spellEnd"/>
            <w:r w:rsidRPr="00C73DF2">
              <w:rPr>
                <w:rFonts w:ascii="Times New Roman" w:hAnsi="Times New Roman" w:cs="Times New Roman"/>
                <w:i/>
                <w:sz w:val="24"/>
                <w:szCs w:val="24"/>
                <w:lang w:val="en-US"/>
              </w:rPr>
              <w:t xml:space="preserve"> </w:t>
            </w:r>
            <w:r w:rsidRPr="00C73DF2">
              <w:rPr>
                <w:rFonts w:ascii="Times New Roman" w:hAnsi="Times New Roman" w:cs="Times New Roman"/>
                <w:sz w:val="24"/>
                <w:szCs w:val="24"/>
                <w:lang w:val="en-US"/>
              </w:rPr>
              <w:t>example</w:t>
            </w:r>
          </w:p>
        </w:tc>
      </w:tr>
      <w:tr w:rsidR="00C73DF2" w:rsidRPr="00C73DF2" w14:paraId="31288C5A" w14:textId="77777777" w:rsidTr="00B21197">
        <w:trPr>
          <w:trHeight w:val="1905"/>
        </w:trPr>
        <w:tc>
          <w:tcPr>
            <w:tcW w:w="2235" w:type="dxa"/>
            <w:tcBorders>
              <w:bottom w:val="single" w:sz="4" w:space="0" w:color="auto"/>
            </w:tcBorders>
          </w:tcPr>
          <w:p w14:paraId="4C299DE1" w14:textId="77777777" w:rsidR="00C73DF2" w:rsidRPr="00C73DF2" w:rsidRDefault="00C73DF2" w:rsidP="00B21197">
            <w:pPr>
              <w:spacing w:after="120"/>
              <w:rPr>
                <w:rFonts w:ascii="Times New Roman" w:hAnsi="Times New Roman" w:cs="Times New Roman"/>
                <w:sz w:val="24"/>
                <w:szCs w:val="24"/>
                <w:lang w:val="en-US"/>
              </w:rPr>
            </w:pPr>
            <w:r w:rsidRPr="00C73DF2">
              <w:rPr>
                <w:rFonts w:ascii="Times New Roman" w:hAnsi="Times New Roman" w:cs="Times New Roman"/>
                <w:sz w:val="24"/>
                <w:szCs w:val="24"/>
                <w:lang w:val="en-US"/>
              </w:rPr>
              <w:t xml:space="preserve">decrease of the number of hotel and flight ticket reservations since September </w:t>
            </w:r>
          </w:p>
          <w:p w14:paraId="739AA657" w14:textId="77777777" w:rsidR="00C73DF2" w:rsidRPr="00C73DF2" w:rsidRDefault="00C73DF2" w:rsidP="00B21197">
            <w:pPr>
              <w:spacing w:after="120"/>
              <w:rPr>
                <w:rFonts w:ascii="Times New Roman" w:hAnsi="Times New Roman" w:cs="Times New Roman"/>
                <w:sz w:val="24"/>
                <w:szCs w:val="24"/>
                <w:lang w:val="en-US"/>
              </w:rPr>
            </w:pPr>
          </w:p>
        </w:tc>
        <w:tc>
          <w:tcPr>
            <w:tcW w:w="3503" w:type="dxa"/>
            <w:tcBorders>
              <w:bottom w:val="single" w:sz="4" w:space="0" w:color="auto"/>
            </w:tcBorders>
          </w:tcPr>
          <w:p w14:paraId="0EEC3D23" w14:textId="77777777" w:rsidR="00C73DF2" w:rsidRPr="00C73DF2" w:rsidRDefault="00C73DF2" w:rsidP="00B21197">
            <w:pPr>
              <w:spacing w:after="120"/>
              <w:rPr>
                <w:rFonts w:ascii="Times New Roman" w:hAnsi="Times New Roman" w:cs="Times New Roman"/>
                <w:sz w:val="24"/>
                <w:szCs w:val="24"/>
                <w:lang w:val="en-US"/>
              </w:rPr>
            </w:pPr>
            <w:r w:rsidRPr="00C73DF2">
              <w:rPr>
                <w:rFonts w:ascii="Times New Roman" w:hAnsi="Times New Roman" w:cs="Times New Roman"/>
                <w:sz w:val="24"/>
                <w:szCs w:val="24"/>
                <w:lang w:val="en-US"/>
              </w:rPr>
              <w:t xml:space="preserve">the </w:t>
            </w:r>
            <w:hyperlink r:id="rId11" w:history="1">
              <w:r w:rsidRPr="00C73DF2">
                <w:rPr>
                  <w:rStyle w:val="Hyperlink"/>
                  <w:rFonts w:ascii="Times New Roman" w:hAnsi="Times New Roman" w:cs="Times New Roman"/>
                  <w:color w:val="auto"/>
                  <w:sz w:val="24"/>
                  <w:szCs w:val="24"/>
                  <w:u w:val="none"/>
                  <w:lang w:val="en-US"/>
                </w:rPr>
                <w:t>written warning</w:t>
              </w:r>
            </w:hyperlink>
            <w:r w:rsidRPr="00C73DF2">
              <w:rPr>
                <w:rFonts w:ascii="Times New Roman" w:hAnsi="Times New Roman" w:cs="Times New Roman"/>
                <w:sz w:val="24"/>
                <w:szCs w:val="24"/>
                <w:lang w:val="en-US"/>
              </w:rPr>
              <w:t xml:space="preserve"> by </w:t>
            </w:r>
            <w:hyperlink r:id="rId12" w:history="1">
              <w:r w:rsidRPr="00C73DF2">
                <w:rPr>
                  <w:rFonts w:ascii="Times New Roman" w:hAnsi="Times New Roman" w:cs="Times New Roman"/>
                  <w:sz w:val="24"/>
                  <w:szCs w:val="24"/>
                  <w:lang w:val="en-US"/>
                </w:rPr>
                <w:t>Cartel Office</w:t>
              </w:r>
            </w:hyperlink>
            <w:r w:rsidRPr="00C73DF2">
              <w:rPr>
                <w:rFonts w:ascii="Times New Roman" w:hAnsi="Times New Roman" w:cs="Times New Roman"/>
                <w:sz w:val="24"/>
                <w:szCs w:val="24"/>
                <w:lang w:val="en-US"/>
              </w:rPr>
              <w:t xml:space="preserve"> and the scandal focusing on </w:t>
            </w:r>
            <w:proofErr w:type="spellStart"/>
            <w:r w:rsidRPr="00C73DF2">
              <w:rPr>
                <w:rFonts w:ascii="Times New Roman" w:hAnsi="Times New Roman" w:cs="Times New Roman"/>
                <w:i/>
                <w:sz w:val="24"/>
                <w:szCs w:val="24"/>
                <w:lang w:val="en-US"/>
              </w:rPr>
              <w:t>MyHoliday</w:t>
            </w:r>
            <w:proofErr w:type="spellEnd"/>
            <w:r w:rsidRPr="00C73DF2">
              <w:rPr>
                <w:rFonts w:ascii="Times New Roman" w:hAnsi="Times New Roman" w:cs="Times New Roman"/>
                <w:sz w:val="24"/>
                <w:szCs w:val="24"/>
                <w:lang w:val="en-US"/>
              </w:rPr>
              <w:t xml:space="preserve"> which may break customer’s trust in price comparison engines in general</w:t>
            </w:r>
          </w:p>
        </w:tc>
        <w:tc>
          <w:tcPr>
            <w:tcW w:w="3504" w:type="dxa"/>
            <w:tcBorders>
              <w:bottom w:val="single" w:sz="4" w:space="0" w:color="auto"/>
            </w:tcBorders>
          </w:tcPr>
          <w:p w14:paraId="17F21FFD" w14:textId="77777777" w:rsidR="00C73DF2" w:rsidRPr="00C73DF2" w:rsidRDefault="00C73DF2" w:rsidP="00C73DF2">
            <w:pPr>
              <w:pStyle w:val="Listenabsatz"/>
              <w:numPr>
                <w:ilvl w:val="0"/>
                <w:numId w:val="1"/>
              </w:numPr>
              <w:spacing w:after="120" w:line="240" w:lineRule="auto"/>
              <w:rPr>
                <w:rFonts w:ascii="Times New Roman" w:hAnsi="Times New Roman" w:cs="Times New Roman"/>
                <w:sz w:val="24"/>
                <w:szCs w:val="24"/>
                <w:lang w:val="en-US"/>
              </w:rPr>
            </w:pPr>
            <w:r w:rsidRPr="00C73DF2">
              <w:rPr>
                <w:rFonts w:ascii="Times New Roman" w:hAnsi="Times New Roman" w:cs="Times New Roman"/>
                <w:sz w:val="24"/>
                <w:szCs w:val="24"/>
                <w:lang w:val="en-US"/>
              </w:rPr>
              <w:t xml:space="preserve">to dissociate </w:t>
            </w:r>
            <w:proofErr w:type="spellStart"/>
            <w:r w:rsidRPr="00C73DF2">
              <w:rPr>
                <w:rFonts w:ascii="Times New Roman" w:hAnsi="Times New Roman" w:cs="Times New Roman"/>
                <w:i/>
                <w:sz w:val="24"/>
                <w:szCs w:val="24"/>
                <w:lang w:val="en-US"/>
              </w:rPr>
              <w:t>TripDetective</w:t>
            </w:r>
            <w:proofErr w:type="spellEnd"/>
            <w:r w:rsidRPr="00C73DF2">
              <w:rPr>
                <w:rFonts w:ascii="Times New Roman" w:hAnsi="Times New Roman" w:cs="Times New Roman"/>
                <w:sz w:val="24"/>
                <w:szCs w:val="24"/>
                <w:lang w:val="en-US"/>
              </w:rPr>
              <w:t xml:space="preserve"> from </w:t>
            </w:r>
            <w:proofErr w:type="spellStart"/>
            <w:r w:rsidRPr="00C73DF2">
              <w:rPr>
                <w:rFonts w:ascii="Times New Roman" w:hAnsi="Times New Roman" w:cs="Times New Roman"/>
                <w:i/>
                <w:sz w:val="24"/>
                <w:szCs w:val="24"/>
                <w:lang w:val="en-US"/>
              </w:rPr>
              <w:t>MyHoliday</w:t>
            </w:r>
            <w:proofErr w:type="spellEnd"/>
            <w:r w:rsidRPr="00C73DF2">
              <w:rPr>
                <w:rFonts w:ascii="Times New Roman" w:hAnsi="Times New Roman" w:cs="Times New Roman"/>
                <w:sz w:val="24"/>
                <w:szCs w:val="24"/>
                <w:lang w:val="en-US"/>
              </w:rPr>
              <w:t xml:space="preserve"> clearly (e.g. through an interview with the members of a management team) </w:t>
            </w:r>
          </w:p>
          <w:p w14:paraId="3EC1F032" w14:textId="77777777" w:rsidR="00C73DF2" w:rsidRPr="00C73DF2" w:rsidRDefault="00C73DF2" w:rsidP="00C73DF2">
            <w:pPr>
              <w:pStyle w:val="Listenabsatz"/>
              <w:numPr>
                <w:ilvl w:val="0"/>
                <w:numId w:val="1"/>
              </w:numPr>
              <w:spacing w:after="120" w:line="240" w:lineRule="auto"/>
              <w:rPr>
                <w:rFonts w:ascii="Times New Roman" w:hAnsi="Times New Roman" w:cs="Times New Roman"/>
                <w:sz w:val="24"/>
                <w:szCs w:val="24"/>
                <w:lang w:val="en-US"/>
              </w:rPr>
            </w:pPr>
            <w:r w:rsidRPr="00C73DF2">
              <w:rPr>
                <w:rFonts w:ascii="Times New Roman" w:hAnsi="Times New Roman" w:cs="Times New Roman"/>
                <w:sz w:val="24"/>
                <w:szCs w:val="24"/>
                <w:lang w:val="en-US"/>
              </w:rPr>
              <w:t>to speed up the acquisition</w:t>
            </w:r>
            <w:r w:rsidRPr="00C73DF2">
              <w:rPr>
                <w:lang w:val="en-US"/>
              </w:rPr>
              <w:t xml:space="preserve"> </w:t>
            </w:r>
            <w:r w:rsidRPr="00C73DF2">
              <w:rPr>
                <w:rFonts w:ascii="Times New Roman" w:hAnsi="Times New Roman" w:cs="Times New Roman"/>
                <w:sz w:val="24"/>
                <w:szCs w:val="24"/>
                <w:lang w:val="en-US"/>
              </w:rPr>
              <w:t xml:space="preserve">of the service quality certificate </w:t>
            </w:r>
          </w:p>
        </w:tc>
      </w:tr>
      <w:tr w:rsidR="00C73DF2" w:rsidRPr="00C73DF2" w14:paraId="15E9A966" w14:textId="77777777" w:rsidTr="00B21197">
        <w:tc>
          <w:tcPr>
            <w:tcW w:w="2235" w:type="dxa"/>
            <w:tcBorders>
              <w:bottom w:val="single" w:sz="4" w:space="0" w:color="auto"/>
            </w:tcBorders>
          </w:tcPr>
          <w:p w14:paraId="7B9D1888" w14:textId="77777777" w:rsidR="00C73DF2" w:rsidRPr="00C73DF2" w:rsidRDefault="00C73DF2" w:rsidP="00B21197">
            <w:pPr>
              <w:spacing w:after="120"/>
              <w:rPr>
                <w:rFonts w:ascii="Times New Roman" w:hAnsi="Times New Roman" w:cs="Times New Roman"/>
                <w:sz w:val="24"/>
                <w:szCs w:val="24"/>
                <w:lang w:val="en-US"/>
              </w:rPr>
            </w:pPr>
            <w:r w:rsidRPr="00C73DF2">
              <w:rPr>
                <w:rFonts w:ascii="Times New Roman" w:hAnsi="Times New Roman" w:cs="Times New Roman"/>
                <w:sz w:val="24"/>
                <w:szCs w:val="24"/>
                <w:lang w:val="en-US"/>
              </w:rPr>
              <w:t xml:space="preserve">No contract with </w:t>
            </w:r>
            <w:proofErr w:type="spellStart"/>
            <w:r w:rsidRPr="00C73DF2">
              <w:rPr>
                <w:rFonts w:ascii="Times New Roman" w:hAnsi="Times New Roman" w:cs="Times New Roman"/>
                <w:sz w:val="24"/>
                <w:szCs w:val="24"/>
                <w:lang w:val="en-US"/>
              </w:rPr>
              <w:t>Mr</w:t>
            </w:r>
            <w:proofErr w:type="spellEnd"/>
            <w:r w:rsidRPr="00C73DF2">
              <w:rPr>
                <w:rFonts w:ascii="Times New Roman" w:hAnsi="Times New Roman" w:cs="Times New Roman"/>
                <w:sz w:val="24"/>
                <w:szCs w:val="24"/>
                <w:lang w:val="en-US"/>
              </w:rPr>
              <w:t xml:space="preserve"> </w:t>
            </w:r>
            <w:proofErr w:type="spellStart"/>
            <w:r w:rsidRPr="00C73DF2">
              <w:rPr>
                <w:rFonts w:ascii="Times New Roman" w:hAnsi="Times New Roman" w:cs="Times New Roman"/>
                <w:sz w:val="24"/>
                <w:szCs w:val="24"/>
                <w:lang w:val="en-US"/>
              </w:rPr>
              <w:t>Kastner</w:t>
            </w:r>
            <w:proofErr w:type="spellEnd"/>
            <w:r w:rsidRPr="00C73DF2">
              <w:rPr>
                <w:rFonts w:ascii="Times New Roman" w:hAnsi="Times New Roman" w:cs="Times New Roman"/>
                <w:sz w:val="24"/>
                <w:szCs w:val="24"/>
                <w:lang w:val="en-US"/>
              </w:rPr>
              <w:t xml:space="preserve"> threatening the new marketing </w:t>
            </w:r>
            <w:proofErr w:type="spellStart"/>
            <w:r w:rsidRPr="00C73DF2">
              <w:rPr>
                <w:rFonts w:ascii="Times New Roman" w:hAnsi="Times New Roman" w:cs="Times New Roman"/>
                <w:sz w:val="24"/>
                <w:szCs w:val="24"/>
                <w:lang w:val="en-US"/>
              </w:rPr>
              <w:t>campagne</w:t>
            </w:r>
            <w:proofErr w:type="spellEnd"/>
          </w:p>
          <w:p w14:paraId="54C31051" w14:textId="77777777" w:rsidR="00C73DF2" w:rsidRPr="00C73DF2" w:rsidRDefault="00C73DF2" w:rsidP="00B21197">
            <w:pPr>
              <w:spacing w:after="120"/>
              <w:rPr>
                <w:rFonts w:ascii="Times New Roman" w:hAnsi="Times New Roman" w:cs="Times New Roman"/>
                <w:sz w:val="24"/>
                <w:szCs w:val="24"/>
                <w:lang w:val="en-US"/>
              </w:rPr>
            </w:pPr>
          </w:p>
        </w:tc>
        <w:tc>
          <w:tcPr>
            <w:tcW w:w="3503" w:type="dxa"/>
            <w:tcBorders>
              <w:bottom w:val="single" w:sz="4" w:space="0" w:color="auto"/>
            </w:tcBorders>
          </w:tcPr>
          <w:p w14:paraId="5A55D774" w14:textId="77777777" w:rsidR="00C73DF2" w:rsidRPr="00C73DF2" w:rsidRDefault="00C73DF2" w:rsidP="00B21197">
            <w:pPr>
              <w:spacing w:after="120"/>
              <w:rPr>
                <w:rFonts w:ascii="Times New Roman" w:hAnsi="Times New Roman" w:cs="Times New Roman"/>
                <w:sz w:val="24"/>
                <w:szCs w:val="24"/>
                <w:lang w:val="en-US"/>
              </w:rPr>
            </w:pPr>
            <w:r w:rsidRPr="00C73DF2">
              <w:rPr>
                <w:rFonts w:ascii="Times New Roman" w:hAnsi="Times New Roman" w:cs="Times New Roman"/>
                <w:sz w:val="24"/>
                <w:szCs w:val="24"/>
                <w:lang w:val="en-US"/>
              </w:rPr>
              <w:t xml:space="preserve">unclear, possibly the </w:t>
            </w:r>
            <w:proofErr w:type="spellStart"/>
            <w:r w:rsidRPr="00C73DF2">
              <w:rPr>
                <w:rFonts w:ascii="Times New Roman" w:hAnsi="Times New Roman" w:cs="Times New Roman"/>
                <w:i/>
                <w:sz w:val="24"/>
                <w:szCs w:val="24"/>
                <w:lang w:val="en-US"/>
              </w:rPr>
              <w:t>MyHoliday</w:t>
            </w:r>
            <w:proofErr w:type="spellEnd"/>
            <w:r w:rsidRPr="00C73DF2">
              <w:rPr>
                <w:rFonts w:ascii="Times New Roman" w:hAnsi="Times New Roman" w:cs="Times New Roman"/>
                <w:sz w:val="24"/>
                <w:szCs w:val="24"/>
                <w:lang w:val="en-US"/>
              </w:rPr>
              <w:t xml:space="preserve"> scandal</w:t>
            </w:r>
          </w:p>
        </w:tc>
        <w:tc>
          <w:tcPr>
            <w:tcW w:w="3504" w:type="dxa"/>
            <w:tcBorders>
              <w:bottom w:val="single" w:sz="4" w:space="0" w:color="auto"/>
            </w:tcBorders>
          </w:tcPr>
          <w:p w14:paraId="2A3769CA" w14:textId="77777777" w:rsidR="00C73DF2" w:rsidRPr="00C73DF2" w:rsidRDefault="00C73DF2" w:rsidP="00C73DF2">
            <w:pPr>
              <w:pStyle w:val="Listenabsatz"/>
              <w:numPr>
                <w:ilvl w:val="0"/>
                <w:numId w:val="1"/>
              </w:numPr>
              <w:spacing w:after="120" w:line="240" w:lineRule="auto"/>
              <w:rPr>
                <w:rFonts w:ascii="Times New Roman" w:hAnsi="Times New Roman" w:cs="Times New Roman"/>
                <w:sz w:val="24"/>
                <w:szCs w:val="24"/>
                <w:lang w:val="en-US"/>
              </w:rPr>
            </w:pPr>
            <w:r w:rsidRPr="00C73DF2">
              <w:rPr>
                <w:rFonts w:ascii="Times New Roman" w:hAnsi="Times New Roman" w:cs="Times New Roman"/>
                <w:sz w:val="24"/>
                <w:szCs w:val="24"/>
                <w:lang w:val="en-US"/>
              </w:rPr>
              <w:t xml:space="preserve">to ask </w:t>
            </w:r>
            <w:proofErr w:type="spellStart"/>
            <w:r w:rsidRPr="00C73DF2">
              <w:rPr>
                <w:rFonts w:ascii="Times New Roman" w:hAnsi="Times New Roman" w:cs="Times New Roman"/>
                <w:sz w:val="24"/>
                <w:szCs w:val="24"/>
                <w:lang w:val="en-US"/>
              </w:rPr>
              <w:t>Mr</w:t>
            </w:r>
            <w:proofErr w:type="spellEnd"/>
            <w:r w:rsidRPr="00C73DF2">
              <w:rPr>
                <w:rFonts w:ascii="Times New Roman" w:hAnsi="Times New Roman" w:cs="Times New Roman"/>
                <w:sz w:val="24"/>
                <w:szCs w:val="24"/>
                <w:lang w:val="en-US"/>
              </w:rPr>
              <w:t xml:space="preserve"> </w:t>
            </w:r>
            <w:proofErr w:type="spellStart"/>
            <w:r w:rsidRPr="00C73DF2">
              <w:rPr>
                <w:rFonts w:ascii="Times New Roman" w:hAnsi="Times New Roman" w:cs="Times New Roman"/>
                <w:sz w:val="24"/>
                <w:szCs w:val="24"/>
                <w:lang w:val="en-US"/>
              </w:rPr>
              <w:t>Kastner</w:t>
            </w:r>
            <w:proofErr w:type="spellEnd"/>
            <w:r w:rsidRPr="00C73DF2">
              <w:rPr>
                <w:rFonts w:ascii="Times New Roman" w:hAnsi="Times New Roman" w:cs="Times New Roman"/>
                <w:sz w:val="24"/>
                <w:szCs w:val="24"/>
                <w:lang w:val="en-US"/>
              </w:rPr>
              <w:t xml:space="preserve"> about the reasons</w:t>
            </w:r>
          </w:p>
          <w:p w14:paraId="2AE22C65" w14:textId="77777777" w:rsidR="00C73DF2" w:rsidRPr="00C73DF2" w:rsidRDefault="00C73DF2" w:rsidP="00C73DF2">
            <w:pPr>
              <w:pStyle w:val="Listenabsatz"/>
              <w:numPr>
                <w:ilvl w:val="0"/>
                <w:numId w:val="1"/>
              </w:numPr>
              <w:spacing w:after="120" w:line="240" w:lineRule="auto"/>
              <w:rPr>
                <w:rFonts w:ascii="Times New Roman" w:hAnsi="Times New Roman" w:cs="Times New Roman"/>
                <w:sz w:val="24"/>
                <w:szCs w:val="24"/>
                <w:lang w:val="en-US"/>
              </w:rPr>
            </w:pPr>
            <w:r w:rsidRPr="00C73DF2">
              <w:rPr>
                <w:rFonts w:ascii="Times New Roman" w:hAnsi="Times New Roman" w:cs="Times New Roman"/>
                <w:sz w:val="24"/>
                <w:szCs w:val="24"/>
                <w:lang w:val="en-US"/>
              </w:rPr>
              <w:t xml:space="preserve">to adjust his contract </w:t>
            </w:r>
          </w:p>
          <w:p w14:paraId="41CDF981" w14:textId="77777777" w:rsidR="00C73DF2" w:rsidRPr="00C73DF2" w:rsidRDefault="00C73DF2" w:rsidP="00C73DF2">
            <w:pPr>
              <w:pStyle w:val="Listenabsatz"/>
              <w:numPr>
                <w:ilvl w:val="0"/>
                <w:numId w:val="1"/>
              </w:numPr>
              <w:spacing w:after="120" w:line="240" w:lineRule="auto"/>
              <w:rPr>
                <w:rFonts w:ascii="Times New Roman" w:hAnsi="Times New Roman" w:cs="Times New Roman"/>
                <w:sz w:val="24"/>
                <w:szCs w:val="24"/>
                <w:lang w:val="en-US"/>
              </w:rPr>
            </w:pPr>
            <w:r w:rsidRPr="00C73DF2">
              <w:rPr>
                <w:rFonts w:ascii="Times New Roman" w:hAnsi="Times New Roman" w:cs="Times New Roman"/>
                <w:sz w:val="24"/>
                <w:szCs w:val="24"/>
                <w:lang w:val="en-US"/>
              </w:rPr>
              <w:t xml:space="preserve">if </w:t>
            </w:r>
            <w:proofErr w:type="spellStart"/>
            <w:r w:rsidRPr="00C73DF2">
              <w:rPr>
                <w:rFonts w:ascii="Times New Roman" w:hAnsi="Times New Roman" w:cs="Times New Roman"/>
                <w:sz w:val="24"/>
                <w:szCs w:val="24"/>
                <w:lang w:val="en-US"/>
              </w:rPr>
              <w:t>Mr</w:t>
            </w:r>
            <w:proofErr w:type="spellEnd"/>
            <w:r w:rsidRPr="00C73DF2">
              <w:rPr>
                <w:rFonts w:ascii="Times New Roman" w:hAnsi="Times New Roman" w:cs="Times New Roman"/>
                <w:sz w:val="24"/>
                <w:szCs w:val="24"/>
                <w:lang w:val="en-US"/>
              </w:rPr>
              <w:t xml:space="preserve"> </w:t>
            </w:r>
            <w:proofErr w:type="spellStart"/>
            <w:r w:rsidRPr="00C73DF2">
              <w:rPr>
                <w:rFonts w:ascii="Times New Roman" w:hAnsi="Times New Roman" w:cs="Times New Roman"/>
                <w:sz w:val="24"/>
                <w:szCs w:val="24"/>
                <w:lang w:val="en-US"/>
              </w:rPr>
              <w:t>Kastner</w:t>
            </w:r>
            <w:proofErr w:type="spellEnd"/>
            <w:r w:rsidRPr="00C73DF2">
              <w:rPr>
                <w:rFonts w:ascii="Times New Roman" w:hAnsi="Times New Roman" w:cs="Times New Roman"/>
                <w:sz w:val="24"/>
                <w:szCs w:val="24"/>
                <w:lang w:val="en-US"/>
              </w:rPr>
              <w:t xml:space="preserve"> refuses the cooperation, start negotiation with other actors</w:t>
            </w:r>
          </w:p>
        </w:tc>
      </w:tr>
    </w:tbl>
    <w:p w14:paraId="4014783C" w14:textId="77777777" w:rsidR="00C73DF2" w:rsidRPr="00C73DF2" w:rsidRDefault="00C73DF2" w:rsidP="00C73DF2">
      <w:pPr>
        <w:pStyle w:val="APATextbody"/>
        <w:spacing w:line="240" w:lineRule="auto"/>
        <w:ind w:firstLine="0"/>
        <w:rPr>
          <w:lang w:val="en-US"/>
        </w:rPr>
      </w:pPr>
      <w:r w:rsidRPr="00C73DF2">
        <w:rPr>
          <w:i/>
          <w:lang w:val="en-US"/>
        </w:rPr>
        <w:t>Note.</w:t>
      </w:r>
      <w:r w:rsidRPr="00C73DF2">
        <w:rPr>
          <w:lang w:val="en-US"/>
        </w:rPr>
        <w:t xml:space="preserve"> The last column contains 10 ideas which were supposed to be generated during the experiment. For each of these ideas only one point was given in the gamification condition, because they were not evaluated as “creative”. For any other idea two points were given to a team in the gamification condition. These numbers served only as a feedback for the participants and were not considered in the later data analysis.</w:t>
      </w:r>
    </w:p>
    <w:p w14:paraId="1D5FB87B" w14:textId="77777777" w:rsidR="006866B6" w:rsidRPr="00C73DF2" w:rsidRDefault="006866B6">
      <w:pPr>
        <w:rPr>
          <w:lang w:val="en-US"/>
        </w:rPr>
      </w:pPr>
    </w:p>
    <w:sectPr w:rsidR="006866B6" w:rsidRPr="00C73DF2" w:rsidSect="00A34465">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8378BD"/>
    <w:multiLevelType w:val="hybridMultilevel"/>
    <w:tmpl w:val="93D02CA4"/>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DF2"/>
    <w:rsid w:val="00115041"/>
    <w:rsid w:val="006866B6"/>
    <w:rsid w:val="00C7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C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73DF2"/>
    <w:pPr>
      <w:spacing w:after="200" w:line="276" w:lineRule="auto"/>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PALevel1">
    <w:name w:val="APA_Level1"/>
    <w:basedOn w:val="Standard"/>
    <w:qFormat/>
    <w:rsid w:val="00C73DF2"/>
    <w:pPr>
      <w:spacing w:after="0" w:line="480" w:lineRule="auto"/>
      <w:jc w:val="center"/>
    </w:pPr>
    <w:rPr>
      <w:rFonts w:ascii="Times New Roman" w:hAnsi="Times New Roman" w:cs="Times New Roman"/>
      <w:b/>
      <w:sz w:val="24"/>
      <w:szCs w:val="24"/>
    </w:rPr>
  </w:style>
  <w:style w:type="paragraph" w:customStyle="1" w:styleId="APALevel2">
    <w:name w:val="APA_Level2"/>
    <w:basedOn w:val="APALevel1"/>
    <w:link w:val="APALevel2Char"/>
    <w:qFormat/>
    <w:rsid w:val="00C73DF2"/>
    <w:pPr>
      <w:jc w:val="left"/>
    </w:pPr>
  </w:style>
  <w:style w:type="paragraph" w:customStyle="1" w:styleId="APATextbody">
    <w:name w:val="APA_Textbody"/>
    <w:basedOn w:val="APALevel2"/>
    <w:link w:val="APATextbodyChar"/>
    <w:qFormat/>
    <w:rsid w:val="00C73DF2"/>
    <w:pPr>
      <w:ind w:firstLine="720"/>
    </w:pPr>
    <w:rPr>
      <w:b w:val="0"/>
    </w:rPr>
  </w:style>
  <w:style w:type="paragraph" w:customStyle="1" w:styleId="APALevel3">
    <w:name w:val="APA_Level3"/>
    <w:basedOn w:val="APATextbody"/>
    <w:qFormat/>
    <w:rsid w:val="00C73DF2"/>
    <w:rPr>
      <w:b/>
      <w:lang w:val="en-US"/>
    </w:rPr>
  </w:style>
  <w:style w:type="character" w:customStyle="1" w:styleId="APALevel2Char">
    <w:name w:val="APA_Level2 Char"/>
    <w:basedOn w:val="Absatz-Standardschriftart"/>
    <w:link w:val="APALevel2"/>
    <w:rsid w:val="00C73DF2"/>
    <w:rPr>
      <w:rFonts w:ascii="Times New Roman" w:hAnsi="Times New Roman" w:cs="Times New Roman"/>
      <w:b/>
      <w:sz w:val="24"/>
      <w:szCs w:val="24"/>
      <w:lang w:val="de-DE"/>
    </w:rPr>
  </w:style>
  <w:style w:type="character" w:customStyle="1" w:styleId="APATextbodyChar">
    <w:name w:val="APA_Textbody Char"/>
    <w:basedOn w:val="APALevel2Char"/>
    <w:link w:val="APATextbody"/>
    <w:rsid w:val="00C73DF2"/>
    <w:rPr>
      <w:rFonts w:ascii="Times New Roman" w:hAnsi="Times New Roman" w:cs="Times New Roman"/>
      <w:b w:val="0"/>
      <w:sz w:val="24"/>
      <w:szCs w:val="24"/>
      <w:lang w:val="de-DE"/>
    </w:rPr>
  </w:style>
  <w:style w:type="table" w:styleId="Tabellenraster">
    <w:name w:val="Table Grid"/>
    <w:basedOn w:val="NormaleTabelle"/>
    <w:uiPriority w:val="59"/>
    <w:rsid w:val="00C73DF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73DF2"/>
    <w:rPr>
      <w:color w:val="0563C1" w:themeColor="hyperlink"/>
      <w:u w:val="single"/>
    </w:rPr>
  </w:style>
  <w:style w:type="paragraph" w:styleId="Listenabsatz">
    <w:name w:val="List Paragraph"/>
    <w:basedOn w:val="Standard"/>
    <w:uiPriority w:val="34"/>
    <w:qFormat/>
    <w:rsid w:val="00C73DF2"/>
    <w:pPr>
      <w:ind w:left="720"/>
      <w:contextualSpacing/>
    </w:pPr>
  </w:style>
  <w:style w:type="paragraph" w:styleId="Sprechblasentext">
    <w:name w:val="Balloon Text"/>
    <w:basedOn w:val="Standard"/>
    <w:link w:val="SprechblasentextZchn"/>
    <w:uiPriority w:val="99"/>
    <w:semiHidden/>
    <w:unhideWhenUsed/>
    <w:rsid w:val="0011504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5041"/>
    <w:rPr>
      <w:rFonts w:ascii="Tahoma" w:hAnsi="Tahoma" w:cs="Tahoma"/>
      <w:sz w:val="16"/>
      <w:szCs w:val="16"/>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73DF2"/>
    <w:pPr>
      <w:spacing w:after="200" w:line="276" w:lineRule="auto"/>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PALevel1">
    <w:name w:val="APA_Level1"/>
    <w:basedOn w:val="Standard"/>
    <w:qFormat/>
    <w:rsid w:val="00C73DF2"/>
    <w:pPr>
      <w:spacing w:after="0" w:line="480" w:lineRule="auto"/>
      <w:jc w:val="center"/>
    </w:pPr>
    <w:rPr>
      <w:rFonts w:ascii="Times New Roman" w:hAnsi="Times New Roman" w:cs="Times New Roman"/>
      <w:b/>
      <w:sz w:val="24"/>
      <w:szCs w:val="24"/>
    </w:rPr>
  </w:style>
  <w:style w:type="paragraph" w:customStyle="1" w:styleId="APALevel2">
    <w:name w:val="APA_Level2"/>
    <w:basedOn w:val="APALevel1"/>
    <w:link w:val="APALevel2Char"/>
    <w:qFormat/>
    <w:rsid w:val="00C73DF2"/>
    <w:pPr>
      <w:jc w:val="left"/>
    </w:pPr>
  </w:style>
  <w:style w:type="paragraph" w:customStyle="1" w:styleId="APATextbody">
    <w:name w:val="APA_Textbody"/>
    <w:basedOn w:val="APALevel2"/>
    <w:link w:val="APATextbodyChar"/>
    <w:qFormat/>
    <w:rsid w:val="00C73DF2"/>
    <w:pPr>
      <w:ind w:firstLine="720"/>
    </w:pPr>
    <w:rPr>
      <w:b w:val="0"/>
    </w:rPr>
  </w:style>
  <w:style w:type="paragraph" w:customStyle="1" w:styleId="APALevel3">
    <w:name w:val="APA_Level3"/>
    <w:basedOn w:val="APATextbody"/>
    <w:qFormat/>
    <w:rsid w:val="00C73DF2"/>
    <w:rPr>
      <w:b/>
      <w:lang w:val="en-US"/>
    </w:rPr>
  </w:style>
  <w:style w:type="character" w:customStyle="1" w:styleId="APALevel2Char">
    <w:name w:val="APA_Level2 Char"/>
    <w:basedOn w:val="Absatz-Standardschriftart"/>
    <w:link w:val="APALevel2"/>
    <w:rsid w:val="00C73DF2"/>
    <w:rPr>
      <w:rFonts w:ascii="Times New Roman" w:hAnsi="Times New Roman" w:cs="Times New Roman"/>
      <w:b/>
      <w:sz w:val="24"/>
      <w:szCs w:val="24"/>
      <w:lang w:val="de-DE"/>
    </w:rPr>
  </w:style>
  <w:style w:type="character" w:customStyle="1" w:styleId="APATextbodyChar">
    <w:name w:val="APA_Textbody Char"/>
    <w:basedOn w:val="APALevel2Char"/>
    <w:link w:val="APATextbody"/>
    <w:rsid w:val="00C73DF2"/>
    <w:rPr>
      <w:rFonts w:ascii="Times New Roman" w:hAnsi="Times New Roman" w:cs="Times New Roman"/>
      <w:b w:val="0"/>
      <w:sz w:val="24"/>
      <w:szCs w:val="24"/>
      <w:lang w:val="de-DE"/>
    </w:rPr>
  </w:style>
  <w:style w:type="table" w:styleId="Tabellenraster">
    <w:name w:val="Table Grid"/>
    <w:basedOn w:val="NormaleTabelle"/>
    <w:uiPriority w:val="59"/>
    <w:rsid w:val="00C73DF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73DF2"/>
    <w:rPr>
      <w:color w:val="0563C1" w:themeColor="hyperlink"/>
      <w:u w:val="single"/>
    </w:rPr>
  </w:style>
  <w:style w:type="paragraph" w:styleId="Listenabsatz">
    <w:name w:val="List Paragraph"/>
    <w:basedOn w:val="Standard"/>
    <w:uiPriority w:val="34"/>
    <w:qFormat/>
    <w:rsid w:val="00C73DF2"/>
    <w:pPr>
      <w:ind w:left="720"/>
      <w:contextualSpacing/>
    </w:pPr>
  </w:style>
  <w:style w:type="paragraph" w:styleId="Sprechblasentext">
    <w:name w:val="Balloon Text"/>
    <w:basedOn w:val="Standard"/>
    <w:link w:val="SprechblasentextZchn"/>
    <w:uiPriority w:val="99"/>
    <w:semiHidden/>
    <w:unhideWhenUsed/>
    <w:rsid w:val="0011504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5041"/>
    <w:rPr>
      <w:rFonts w:ascii="Tahoma" w:hAnsi="Tahoma" w:cs="Tahoma"/>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hyperlink" Target="https://www.linguee.de/englisch-deutsch/uebersetzung/cartel+offi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www.linguee.de/englisch-deutsch/uebersetzung/written+warning.html" TargetMode="External"/><Relationship Id="rId5" Type="http://schemas.openxmlformats.org/officeDocument/2006/relationships/webSettings" Target="webSettings.xml"/><Relationship Id="rId10" Type="http://schemas.openxmlformats.org/officeDocument/2006/relationships/hyperlink" Target="https://www.dict.cc/englisch-deutsch/delinquency.html" TargetMode="External"/><Relationship Id="rId4" Type="http://schemas.openxmlformats.org/officeDocument/2006/relationships/settings" Target="settings.xml"/><Relationship Id="rId9" Type="http://schemas.openxmlformats.org/officeDocument/2006/relationships/hyperlink" Target="https://www.dict.cc/englisch-deutsch/complaint.html"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Tabelle1!$B$1</c:f>
              <c:strCache>
                <c:ptCount val="1"/>
                <c:pt idx="0">
                  <c:v>Mitarbeiterzahl</c:v>
                </c:pt>
              </c:strCache>
            </c:strRef>
          </c:tx>
          <c:invertIfNegative val="0"/>
          <c:cat>
            <c:numRef>
              <c:f>Tabelle1!$A$2:$A$6</c:f>
              <c:numCache>
                <c:formatCode>General</c:formatCode>
                <c:ptCount val="5"/>
                <c:pt idx="0">
                  <c:v>2008</c:v>
                </c:pt>
                <c:pt idx="1">
                  <c:v>2010</c:v>
                </c:pt>
                <c:pt idx="2">
                  <c:v>2012</c:v>
                </c:pt>
                <c:pt idx="3">
                  <c:v>2014</c:v>
                </c:pt>
                <c:pt idx="4">
                  <c:v>2016</c:v>
                </c:pt>
              </c:numCache>
            </c:numRef>
          </c:cat>
          <c:val>
            <c:numRef>
              <c:f>Tabelle1!$B$2:$B$6</c:f>
              <c:numCache>
                <c:formatCode>General</c:formatCode>
                <c:ptCount val="5"/>
                <c:pt idx="0">
                  <c:v>25</c:v>
                </c:pt>
                <c:pt idx="1">
                  <c:v>60</c:v>
                </c:pt>
                <c:pt idx="2">
                  <c:v>240</c:v>
                </c:pt>
                <c:pt idx="3">
                  <c:v>570</c:v>
                </c:pt>
                <c:pt idx="4">
                  <c:v>810</c:v>
                </c:pt>
              </c:numCache>
            </c:numRef>
          </c:val>
          <c:extLst xmlns:c16r2="http://schemas.microsoft.com/office/drawing/2015/06/chart">
            <c:ext xmlns:c16="http://schemas.microsoft.com/office/drawing/2014/chart" uri="{C3380CC4-5D6E-409C-BE32-E72D297353CC}">
              <c16:uniqueId val="{00000000-AFC0-40CB-93F2-B65576E8D08D}"/>
            </c:ext>
          </c:extLst>
        </c:ser>
        <c:dLbls>
          <c:showLegendKey val="0"/>
          <c:showVal val="0"/>
          <c:showCatName val="0"/>
          <c:showSerName val="0"/>
          <c:showPercent val="0"/>
          <c:showBubbleSize val="0"/>
        </c:dLbls>
        <c:gapWidth val="150"/>
        <c:axId val="155041792"/>
        <c:axId val="240902720"/>
      </c:barChart>
      <c:catAx>
        <c:axId val="155041792"/>
        <c:scaling>
          <c:orientation val="minMax"/>
        </c:scaling>
        <c:delete val="0"/>
        <c:axPos val="b"/>
        <c:title>
          <c:tx>
            <c:rich>
              <a:bodyPr/>
              <a:lstStyle/>
              <a:p>
                <a:pPr>
                  <a:defRPr sz="900"/>
                </a:pPr>
                <a:r>
                  <a:rPr lang="de-DE" sz="900"/>
                  <a:t>Year</a:t>
                </a:r>
              </a:p>
            </c:rich>
          </c:tx>
          <c:overlay val="0"/>
        </c:title>
        <c:numFmt formatCode="General" sourceLinked="1"/>
        <c:majorTickMark val="out"/>
        <c:minorTickMark val="none"/>
        <c:tickLblPos val="nextTo"/>
        <c:txPr>
          <a:bodyPr/>
          <a:lstStyle/>
          <a:p>
            <a:pPr>
              <a:defRPr sz="900"/>
            </a:pPr>
            <a:endParaRPr lang="de-DE"/>
          </a:p>
        </c:txPr>
        <c:crossAx val="240902720"/>
        <c:crosses val="autoZero"/>
        <c:auto val="1"/>
        <c:lblAlgn val="ctr"/>
        <c:lblOffset val="100"/>
        <c:noMultiLvlLbl val="0"/>
      </c:catAx>
      <c:valAx>
        <c:axId val="240902720"/>
        <c:scaling>
          <c:orientation val="minMax"/>
        </c:scaling>
        <c:delete val="0"/>
        <c:axPos val="l"/>
        <c:majorGridlines/>
        <c:title>
          <c:tx>
            <c:rich>
              <a:bodyPr rot="-5400000" vert="horz"/>
              <a:lstStyle/>
              <a:p>
                <a:pPr>
                  <a:defRPr sz="900"/>
                </a:pPr>
                <a:r>
                  <a:rPr lang="de-DE" sz="900"/>
                  <a:t>Employee</a:t>
                </a:r>
                <a:r>
                  <a:rPr lang="de-DE" sz="900" baseline="0"/>
                  <a:t> Number</a:t>
                </a:r>
                <a:endParaRPr lang="de-DE" sz="900"/>
              </a:p>
            </c:rich>
          </c:tx>
          <c:overlay val="0"/>
        </c:title>
        <c:numFmt formatCode="General" sourceLinked="1"/>
        <c:majorTickMark val="out"/>
        <c:minorTickMark val="none"/>
        <c:tickLblPos val="nextTo"/>
        <c:txPr>
          <a:bodyPr/>
          <a:lstStyle/>
          <a:p>
            <a:pPr>
              <a:defRPr sz="900"/>
            </a:pPr>
            <a:endParaRPr lang="de-DE"/>
          </a:p>
        </c:txPr>
        <c:crossAx val="15504179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Tabelle1!$B$1</c:f>
              <c:strCache>
                <c:ptCount val="1"/>
                <c:pt idx="0">
                  <c:v>Flug- und Hotel-Reservierungen pro Tag (Mittelwert)</c:v>
                </c:pt>
              </c:strCache>
            </c:strRef>
          </c:tx>
          <c:invertIfNegative val="0"/>
          <c:cat>
            <c:strRef>
              <c:f>Tabelle1!$A$2:$A$13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Tabelle1!$B$2:$B$13</c:f>
              <c:numCache>
                <c:formatCode>General</c:formatCode>
                <c:ptCount val="12"/>
                <c:pt idx="0">
                  <c:v>6300</c:v>
                </c:pt>
                <c:pt idx="1">
                  <c:v>6000</c:v>
                </c:pt>
                <c:pt idx="2">
                  <c:v>6100</c:v>
                </c:pt>
                <c:pt idx="3">
                  <c:v>7400</c:v>
                </c:pt>
                <c:pt idx="4">
                  <c:v>7890</c:v>
                </c:pt>
                <c:pt idx="5">
                  <c:v>7800</c:v>
                </c:pt>
                <c:pt idx="6">
                  <c:v>7900</c:v>
                </c:pt>
                <c:pt idx="7">
                  <c:v>7950</c:v>
                </c:pt>
                <c:pt idx="8">
                  <c:v>5100</c:v>
                </c:pt>
                <c:pt idx="9">
                  <c:v>4650</c:v>
                </c:pt>
                <c:pt idx="10">
                  <c:v>4400</c:v>
                </c:pt>
                <c:pt idx="11">
                  <c:v>3800</c:v>
                </c:pt>
              </c:numCache>
            </c:numRef>
          </c:val>
          <c:extLst xmlns:c16r2="http://schemas.microsoft.com/office/drawing/2015/06/chart">
            <c:ext xmlns:c16="http://schemas.microsoft.com/office/drawing/2014/chart" uri="{C3380CC4-5D6E-409C-BE32-E72D297353CC}">
              <c16:uniqueId val="{00000000-7431-47FF-8432-A40B71BAF1A7}"/>
            </c:ext>
          </c:extLst>
        </c:ser>
        <c:dLbls>
          <c:showLegendKey val="0"/>
          <c:showVal val="0"/>
          <c:showCatName val="0"/>
          <c:showSerName val="0"/>
          <c:showPercent val="0"/>
          <c:showBubbleSize val="0"/>
        </c:dLbls>
        <c:gapWidth val="150"/>
        <c:axId val="240309760"/>
        <c:axId val="240903872"/>
      </c:barChart>
      <c:catAx>
        <c:axId val="240309760"/>
        <c:scaling>
          <c:orientation val="minMax"/>
        </c:scaling>
        <c:delete val="0"/>
        <c:axPos val="b"/>
        <c:title>
          <c:tx>
            <c:rich>
              <a:bodyPr/>
              <a:lstStyle/>
              <a:p>
                <a:pPr>
                  <a:defRPr sz="900"/>
                </a:pPr>
                <a:r>
                  <a:rPr lang="de-DE" sz="900"/>
                  <a:t>Year 2016</a:t>
                </a:r>
              </a:p>
            </c:rich>
          </c:tx>
          <c:overlay val="0"/>
        </c:title>
        <c:numFmt formatCode="General" sourceLinked="1"/>
        <c:majorTickMark val="out"/>
        <c:minorTickMark val="none"/>
        <c:tickLblPos val="nextTo"/>
        <c:txPr>
          <a:bodyPr/>
          <a:lstStyle/>
          <a:p>
            <a:pPr>
              <a:defRPr sz="900"/>
            </a:pPr>
            <a:endParaRPr lang="de-DE"/>
          </a:p>
        </c:txPr>
        <c:crossAx val="240903872"/>
        <c:crosses val="autoZero"/>
        <c:auto val="1"/>
        <c:lblAlgn val="ctr"/>
        <c:lblOffset val="100"/>
        <c:noMultiLvlLbl val="0"/>
      </c:catAx>
      <c:valAx>
        <c:axId val="240903872"/>
        <c:scaling>
          <c:orientation val="minMax"/>
        </c:scaling>
        <c:delete val="0"/>
        <c:axPos val="l"/>
        <c:majorGridlines/>
        <c:title>
          <c:tx>
            <c:rich>
              <a:bodyPr rot="-5400000" vert="horz"/>
              <a:lstStyle/>
              <a:p>
                <a:pPr>
                  <a:defRPr sz="900"/>
                </a:pPr>
                <a:r>
                  <a:rPr lang="de-DE" sz="900"/>
                  <a:t>Reservation</a:t>
                </a:r>
                <a:r>
                  <a:rPr lang="de-DE" sz="900" baseline="0"/>
                  <a:t> Number per Day</a:t>
                </a:r>
                <a:r>
                  <a:rPr lang="de-DE" sz="900"/>
                  <a:t> (Average)</a:t>
                </a:r>
              </a:p>
            </c:rich>
          </c:tx>
          <c:overlay val="0"/>
        </c:title>
        <c:numFmt formatCode="General" sourceLinked="0"/>
        <c:majorTickMark val="out"/>
        <c:minorTickMark val="none"/>
        <c:tickLblPos val="nextTo"/>
        <c:txPr>
          <a:bodyPr/>
          <a:lstStyle/>
          <a:p>
            <a:pPr>
              <a:defRPr sz="900"/>
            </a:pPr>
            <a:endParaRPr lang="de-DE"/>
          </a:p>
        </c:txPr>
        <c:crossAx val="24030976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Tabelle1!$B$1</c:f>
              <c:strCache>
                <c:ptCount val="1"/>
                <c:pt idx="0">
                  <c:v>Year 2015</c:v>
                </c:pt>
              </c:strCache>
            </c:strRef>
          </c:tx>
          <c:spPr>
            <a:solidFill>
              <a:schemeClr val="tx1">
                <a:lumMod val="50000"/>
                <a:lumOff val="50000"/>
              </a:schemeClr>
            </a:solidFill>
            <a:ln>
              <a:solidFill>
                <a:schemeClr val="tx1"/>
              </a:solidFill>
            </a:ln>
          </c:spPr>
          <c:invertIfNegative val="0"/>
          <c:cat>
            <c:strRef>
              <c:f>Tabelle1!$A$2:$A$13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Tabelle1!$B$2:$B$13</c:f>
              <c:numCache>
                <c:formatCode>General</c:formatCode>
                <c:ptCount val="12"/>
                <c:pt idx="0">
                  <c:v>1.8</c:v>
                </c:pt>
                <c:pt idx="1">
                  <c:v>1.2</c:v>
                </c:pt>
                <c:pt idx="2">
                  <c:v>0.8</c:v>
                </c:pt>
                <c:pt idx="3">
                  <c:v>0.5</c:v>
                </c:pt>
                <c:pt idx="4">
                  <c:v>0.3</c:v>
                </c:pt>
                <c:pt idx="5">
                  <c:v>0.1</c:v>
                </c:pt>
                <c:pt idx="6">
                  <c:v>0.2</c:v>
                </c:pt>
                <c:pt idx="7">
                  <c:v>0.1</c:v>
                </c:pt>
                <c:pt idx="8">
                  <c:v>1.9</c:v>
                </c:pt>
                <c:pt idx="9">
                  <c:v>2</c:v>
                </c:pt>
                <c:pt idx="10">
                  <c:v>1.1000000000000001</c:v>
                </c:pt>
                <c:pt idx="11">
                  <c:v>0.9</c:v>
                </c:pt>
              </c:numCache>
            </c:numRef>
          </c:val>
          <c:extLst xmlns:c16r2="http://schemas.microsoft.com/office/drawing/2015/06/chart">
            <c:ext xmlns:c16="http://schemas.microsoft.com/office/drawing/2014/chart" uri="{C3380CC4-5D6E-409C-BE32-E72D297353CC}">
              <c16:uniqueId val="{00000000-C10A-4339-99D9-B4EC671B2FB4}"/>
            </c:ext>
          </c:extLst>
        </c:ser>
        <c:ser>
          <c:idx val="1"/>
          <c:order val="1"/>
          <c:tx>
            <c:strRef>
              <c:f>Tabelle1!$C$1</c:f>
              <c:strCache>
                <c:ptCount val="1"/>
                <c:pt idx="0">
                  <c:v>Year 2016</c:v>
                </c:pt>
              </c:strCache>
            </c:strRef>
          </c:tx>
          <c:spPr>
            <a:solidFill>
              <a:schemeClr val="bg1">
                <a:lumMod val="85000"/>
              </a:schemeClr>
            </a:solidFill>
            <a:ln>
              <a:solidFill>
                <a:schemeClr val="tx1"/>
              </a:solidFill>
            </a:ln>
          </c:spPr>
          <c:invertIfNegative val="0"/>
          <c:cat>
            <c:strRef>
              <c:f>Tabelle1!$A$2:$A$13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Tabelle1!$C$2:$C$13</c:f>
              <c:numCache>
                <c:formatCode>General</c:formatCode>
                <c:ptCount val="12"/>
                <c:pt idx="0">
                  <c:v>1.6</c:v>
                </c:pt>
                <c:pt idx="1">
                  <c:v>1</c:v>
                </c:pt>
                <c:pt idx="2">
                  <c:v>1</c:v>
                </c:pt>
                <c:pt idx="3">
                  <c:v>0.4</c:v>
                </c:pt>
                <c:pt idx="4">
                  <c:v>0.6</c:v>
                </c:pt>
                <c:pt idx="5">
                  <c:v>1.5</c:v>
                </c:pt>
                <c:pt idx="6">
                  <c:v>1.3</c:v>
                </c:pt>
                <c:pt idx="7">
                  <c:v>1.4</c:v>
                </c:pt>
                <c:pt idx="8">
                  <c:v>3.1</c:v>
                </c:pt>
                <c:pt idx="9">
                  <c:v>2.2999999999999998</c:v>
                </c:pt>
                <c:pt idx="10">
                  <c:v>2.2999999999999998</c:v>
                </c:pt>
                <c:pt idx="11">
                  <c:v>0</c:v>
                </c:pt>
              </c:numCache>
            </c:numRef>
          </c:val>
          <c:extLst xmlns:c16r2="http://schemas.microsoft.com/office/drawing/2015/06/chart">
            <c:ext xmlns:c16="http://schemas.microsoft.com/office/drawing/2014/chart" uri="{C3380CC4-5D6E-409C-BE32-E72D297353CC}">
              <c16:uniqueId val="{00000001-C10A-4339-99D9-B4EC671B2FB4}"/>
            </c:ext>
          </c:extLst>
        </c:ser>
        <c:dLbls>
          <c:showLegendKey val="0"/>
          <c:showVal val="0"/>
          <c:showCatName val="0"/>
          <c:showSerName val="0"/>
          <c:showPercent val="0"/>
          <c:showBubbleSize val="0"/>
        </c:dLbls>
        <c:gapWidth val="150"/>
        <c:axId val="321436160"/>
        <c:axId val="240906176"/>
      </c:barChart>
      <c:catAx>
        <c:axId val="321436160"/>
        <c:scaling>
          <c:orientation val="minMax"/>
        </c:scaling>
        <c:delete val="0"/>
        <c:axPos val="b"/>
        <c:title>
          <c:tx>
            <c:rich>
              <a:bodyPr/>
              <a:lstStyle/>
              <a:p>
                <a:pPr>
                  <a:defRPr sz="900"/>
                </a:pPr>
                <a:r>
                  <a:rPr lang="de-DE" sz="900"/>
                  <a:t>Month</a:t>
                </a:r>
              </a:p>
            </c:rich>
          </c:tx>
          <c:overlay val="0"/>
        </c:title>
        <c:numFmt formatCode="General" sourceLinked="1"/>
        <c:majorTickMark val="out"/>
        <c:minorTickMark val="none"/>
        <c:tickLblPos val="nextTo"/>
        <c:txPr>
          <a:bodyPr/>
          <a:lstStyle/>
          <a:p>
            <a:pPr>
              <a:defRPr sz="900"/>
            </a:pPr>
            <a:endParaRPr lang="de-DE"/>
          </a:p>
        </c:txPr>
        <c:crossAx val="240906176"/>
        <c:crosses val="autoZero"/>
        <c:auto val="1"/>
        <c:lblAlgn val="ctr"/>
        <c:lblOffset val="100"/>
        <c:noMultiLvlLbl val="0"/>
      </c:catAx>
      <c:valAx>
        <c:axId val="240906176"/>
        <c:scaling>
          <c:orientation val="minMax"/>
        </c:scaling>
        <c:delete val="0"/>
        <c:axPos val="l"/>
        <c:majorGridlines/>
        <c:title>
          <c:tx>
            <c:rich>
              <a:bodyPr rot="-5400000" vert="horz"/>
              <a:lstStyle/>
              <a:p>
                <a:pPr>
                  <a:defRPr/>
                </a:pPr>
                <a:r>
                  <a:rPr lang="de-DE" sz="900"/>
                  <a:t>Sickness Absence</a:t>
                </a:r>
                <a:r>
                  <a:rPr lang="de-DE" sz="900" baseline="0"/>
                  <a:t> </a:t>
                </a:r>
              </a:p>
              <a:p>
                <a:pPr>
                  <a:defRPr/>
                </a:pPr>
                <a:r>
                  <a:rPr lang="de-DE" sz="900" baseline="0"/>
                  <a:t>(</a:t>
                </a:r>
                <a:r>
                  <a:rPr lang="de-DE" sz="900" b="1" i="0" u="none" strike="noStrike" baseline="0">
                    <a:effectLst/>
                  </a:rPr>
                  <a:t>average number of days</a:t>
                </a:r>
                <a:r>
                  <a:rPr lang="de-DE" sz="900"/>
                  <a:t>)</a:t>
                </a:r>
              </a:p>
            </c:rich>
          </c:tx>
          <c:overlay val="0"/>
        </c:title>
        <c:numFmt formatCode="General" sourceLinked="1"/>
        <c:majorTickMark val="out"/>
        <c:minorTickMark val="none"/>
        <c:tickLblPos val="nextTo"/>
        <c:txPr>
          <a:bodyPr/>
          <a:lstStyle/>
          <a:p>
            <a:pPr>
              <a:defRPr sz="900"/>
            </a:pPr>
            <a:endParaRPr lang="de-DE"/>
          </a:p>
        </c:txPr>
        <c:crossAx val="321436160"/>
        <c:crosses val="autoZero"/>
        <c:crossBetween val="between"/>
      </c:valAx>
    </c:plotArea>
    <c:legend>
      <c:legendPos val="r"/>
      <c:overlay val="0"/>
      <c:txPr>
        <a:bodyPr/>
        <a:lstStyle/>
        <a:p>
          <a:pPr>
            <a:defRPr sz="900"/>
          </a:pPr>
          <a:endParaRPr lang="de-DE"/>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5</Pages>
  <Words>1231</Words>
  <Characters>7759</Characters>
  <Application>Microsoft Office Word</Application>
  <DocSecurity>0</DocSecurity>
  <Lines>64</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Polina Trusova</dc:creator>
  <cp:lastModifiedBy>Trusova</cp:lastModifiedBy>
  <cp:revision>2</cp:revision>
  <dcterms:created xsi:type="dcterms:W3CDTF">2018-09-10T11:44:00Z</dcterms:created>
  <dcterms:modified xsi:type="dcterms:W3CDTF">2018-09-10T11:44:00Z</dcterms:modified>
</cp:coreProperties>
</file>